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B1D6E" w14:textId="1F93BEA0" w:rsidR="00827B55" w:rsidRDefault="00827B55">
      <w:pPr>
        <w:spacing w:after="160" w:line="259" w:lineRule="auto"/>
        <w:rPr>
          <w:sz w:val="32"/>
          <w:szCs w:val="32"/>
        </w:rPr>
      </w:pPr>
      <w:bookmarkStart w:id="0" w:name="_GoBack"/>
      <w:bookmarkEnd w:id="0"/>
    </w:p>
    <w:tbl>
      <w:tblPr>
        <w:tblpPr w:leftFromText="187" w:rightFromText="187" w:vertAnchor="page" w:horzAnchor="margin" w:tblpXSpec="center" w:tblpY="2551"/>
        <w:tblW w:w="4492" w:type="pct"/>
        <w:tblBorders>
          <w:left w:val="single" w:sz="18" w:space="0" w:color="5B9BD5" w:themeColor="accent1"/>
        </w:tblBorders>
        <w:tblLook w:val="04A0" w:firstRow="1" w:lastRow="0" w:firstColumn="1" w:lastColumn="0" w:noHBand="0" w:noVBand="1"/>
      </w:tblPr>
      <w:tblGrid>
        <w:gridCol w:w="8316"/>
      </w:tblGrid>
      <w:tr w:rsidR="00827B55" w:rsidRPr="00827B55" w14:paraId="4EE7F321" w14:textId="77777777" w:rsidTr="00565214">
        <w:tc>
          <w:tcPr>
            <w:tcW w:w="8316" w:type="dxa"/>
            <w:tcMar>
              <w:top w:w="216" w:type="dxa"/>
              <w:left w:w="115" w:type="dxa"/>
              <w:bottom w:w="216" w:type="dxa"/>
              <w:right w:w="115" w:type="dxa"/>
            </w:tcMar>
          </w:tcPr>
          <w:p w14:paraId="7384F640" w14:textId="77777777" w:rsidR="00827B55" w:rsidRPr="004179BF" w:rsidRDefault="00827B55" w:rsidP="00827B55">
            <w:pPr>
              <w:spacing w:after="160" w:line="259" w:lineRule="auto"/>
              <w:rPr>
                <w:rFonts w:ascii="Arial" w:hAnsi="Arial" w:cs="Arial"/>
                <w:b/>
                <w:sz w:val="32"/>
                <w:szCs w:val="32"/>
                <w:u w:val="single"/>
              </w:rPr>
            </w:pPr>
          </w:p>
        </w:tc>
      </w:tr>
      <w:tr w:rsidR="00F10CC2" w:rsidRPr="00F10CC2" w14:paraId="373E7160" w14:textId="77777777" w:rsidTr="00565214">
        <w:tc>
          <w:tcPr>
            <w:tcW w:w="8316" w:type="dxa"/>
          </w:tcPr>
          <w:p w14:paraId="336718D3" w14:textId="4BA5E8A4" w:rsidR="00827B55" w:rsidRPr="00E56F1D" w:rsidRDefault="00827B55" w:rsidP="00827B55">
            <w:pPr>
              <w:spacing w:after="160" w:line="259" w:lineRule="auto"/>
              <w:jc w:val="right"/>
              <w:rPr>
                <w:rFonts w:ascii="Arial" w:hAnsi="Arial" w:cs="Arial"/>
                <w:color w:val="4472C4" w:themeColor="accent5"/>
                <w:sz w:val="28"/>
                <w:szCs w:val="28"/>
              </w:rPr>
            </w:pPr>
            <w:r w:rsidRPr="00E56F1D">
              <w:rPr>
                <w:rFonts w:ascii="Arial" w:hAnsi="Arial" w:cs="Arial"/>
                <w:color w:val="4472C4" w:themeColor="accent5"/>
                <w:sz w:val="28"/>
                <w:szCs w:val="28"/>
              </w:rPr>
              <w:t>2</w:t>
            </w:r>
            <w:r w:rsidR="00130847">
              <w:rPr>
                <w:rFonts w:ascii="Arial" w:hAnsi="Arial" w:cs="Arial"/>
                <w:color w:val="4472C4" w:themeColor="accent5"/>
                <w:sz w:val="28"/>
                <w:szCs w:val="28"/>
              </w:rPr>
              <w:t>80</w:t>
            </w:r>
            <w:r w:rsidR="00DB5C82">
              <w:rPr>
                <w:rFonts w:ascii="Arial" w:hAnsi="Arial" w:cs="Arial"/>
                <w:color w:val="4472C4" w:themeColor="accent5"/>
                <w:sz w:val="28"/>
                <w:szCs w:val="28"/>
              </w:rPr>
              <w:t>5</w:t>
            </w:r>
            <w:r w:rsidR="00B04475">
              <w:rPr>
                <w:rFonts w:ascii="Arial" w:hAnsi="Arial" w:cs="Arial"/>
                <w:color w:val="4472C4" w:themeColor="accent5"/>
                <w:sz w:val="28"/>
                <w:szCs w:val="28"/>
              </w:rPr>
              <w:t>A</w:t>
            </w:r>
          </w:p>
          <w:p w14:paraId="15301658" w14:textId="77777777" w:rsidR="00827B55" w:rsidRDefault="00827B55" w:rsidP="00827B55">
            <w:pPr>
              <w:spacing w:after="160" w:line="259" w:lineRule="auto"/>
              <w:rPr>
                <w:rFonts w:ascii="Arial" w:hAnsi="Arial" w:cs="Arial"/>
                <w:color w:val="4472C4" w:themeColor="accent5"/>
                <w:sz w:val="28"/>
                <w:szCs w:val="28"/>
              </w:rPr>
            </w:pPr>
          </w:p>
          <w:p w14:paraId="01B2D9A3" w14:textId="77777777" w:rsidR="00123D21" w:rsidRDefault="00123D21" w:rsidP="00827B55">
            <w:pPr>
              <w:spacing w:after="160" w:line="259" w:lineRule="auto"/>
              <w:rPr>
                <w:rFonts w:ascii="Arial" w:hAnsi="Arial" w:cs="Arial"/>
                <w:color w:val="4472C4" w:themeColor="accent5"/>
                <w:sz w:val="28"/>
                <w:szCs w:val="28"/>
              </w:rPr>
            </w:pPr>
          </w:p>
          <w:p w14:paraId="4553F012" w14:textId="77777777" w:rsidR="00123D21" w:rsidRDefault="00123D21" w:rsidP="00827B55">
            <w:pPr>
              <w:spacing w:after="160" w:line="259" w:lineRule="auto"/>
              <w:rPr>
                <w:rFonts w:ascii="Arial" w:hAnsi="Arial" w:cs="Arial"/>
                <w:color w:val="4472C4" w:themeColor="accent5"/>
                <w:sz w:val="28"/>
                <w:szCs w:val="28"/>
              </w:rPr>
            </w:pPr>
          </w:p>
          <w:p w14:paraId="402DC2AD" w14:textId="77777777" w:rsidR="00123D21" w:rsidRDefault="00123D21" w:rsidP="00827B55">
            <w:pPr>
              <w:spacing w:after="160" w:line="259" w:lineRule="auto"/>
              <w:rPr>
                <w:rFonts w:ascii="Arial" w:hAnsi="Arial" w:cs="Arial"/>
                <w:color w:val="4472C4" w:themeColor="accent5"/>
                <w:sz w:val="28"/>
                <w:szCs w:val="28"/>
              </w:rPr>
            </w:pPr>
          </w:p>
          <w:p w14:paraId="42B51048" w14:textId="6776B7C2" w:rsidR="00DB5C82" w:rsidRPr="00461CD8" w:rsidRDefault="002D6704" w:rsidP="0021471B">
            <w:pPr>
              <w:spacing w:after="160" w:line="259" w:lineRule="auto"/>
              <w:rPr>
                <w:rFonts w:ascii="Arial" w:hAnsi="Arial" w:cs="Arial"/>
                <w:color w:val="4472C4" w:themeColor="accent5"/>
                <w:sz w:val="28"/>
                <w:szCs w:val="28"/>
              </w:rPr>
            </w:pPr>
            <w:r>
              <w:rPr>
                <w:rFonts w:ascii="Arial" w:hAnsi="Arial" w:cs="Arial"/>
                <w:color w:val="4472C4" w:themeColor="accent5"/>
                <w:sz w:val="28"/>
                <w:szCs w:val="28"/>
              </w:rPr>
              <w:t>HUMAN RIGHTS ABUSE AND FACT FINDING: EXPERIENCE OF THE UN INQUIRY ON NORTH KOREA</w:t>
            </w:r>
          </w:p>
        </w:tc>
      </w:tr>
      <w:tr w:rsidR="00827B55" w:rsidRPr="00827B55" w14:paraId="50C2C0A2" w14:textId="77777777" w:rsidTr="00565214">
        <w:tc>
          <w:tcPr>
            <w:tcW w:w="8316" w:type="dxa"/>
            <w:tcMar>
              <w:top w:w="216" w:type="dxa"/>
              <w:left w:w="115" w:type="dxa"/>
              <w:bottom w:w="216" w:type="dxa"/>
              <w:right w:w="115" w:type="dxa"/>
            </w:tcMar>
          </w:tcPr>
          <w:p w14:paraId="6828314C" w14:textId="77777777" w:rsidR="001F5903" w:rsidRDefault="001F5903" w:rsidP="00827B55">
            <w:pPr>
              <w:spacing w:after="160" w:line="259" w:lineRule="auto"/>
              <w:rPr>
                <w:sz w:val="28"/>
                <w:szCs w:val="28"/>
              </w:rPr>
            </w:pPr>
          </w:p>
          <w:p w14:paraId="0B26221D" w14:textId="77777777" w:rsidR="00E56F1D" w:rsidRDefault="00E56F1D" w:rsidP="00827B55">
            <w:pPr>
              <w:spacing w:after="160" w:line="259" w:lineRule="auto"/>
              <w:rPr>
                <w:sz w:val="28"/>
                <w:szCs w:val="28"/>
              </w:rPr>
            </w:pPr>
          </w:p>
          <w:p w14:paraId="50F77705" w14:textId="77777777" w:rsidR="00E56F1D" w:rsidRPr="00E56F1D" w:rsidRDefault="00E56F1D" w:rsidP="00827B55">
            <w:pPr>
              <w:spacing w:after="160" w:line="259" w:lineRule="auto"/>
              <w:rPr>
                <w:sz w:val="28"/>
                <w:szCs w:val="28"/>
              </w:rPr>
            </w:pPr>
          </w:p>
          <w:p w14:paraId="442168EA" w14:textId="77777777" w:rsidR="00827B55" w:rsidRPr="00E56F1D" w:rsidRDefault="00827B55" w:rsidP="00827B55">
            <w:pPr>
              <w:spacing w:after="160" w:line="259" w:lineRule="auto"/>
              <w:rPr>
                <w:sz w:val="28"/>
                <w:szCs w:val="28"/>
              </w:rPr>
            </w:pPr>
            <w:r w:rsidRPr="00E56F1D">
              <w:rPr>
                <w:color w:val="4472C4" w:themeColor="accent5"/>
                <w:sz w:val="28"/>
                <w:szCs w:val="28"/>
              </w:rPr>
              <w:t xml:space="preserve">The Hon. Michael Kirby AC CMG </w:t>
            </w:r>
          </w:p>
        </w:tc>
      </w:tr>
    </w:tbl>
    <w:p w14:paraId="4EEF51BF" w14:textId="1BD316D6" w:rsidR="0056217B" w:rsidRDefault="0056217B">
      <w:pPr>
        <w:spacing w:after="160" w:line="259" w:lineRule="auto"/>
        <w:rPr>
          <w:sz w:val="32"/>
          <w:szCs w:val="32"/>
        </w:rPr>
      </w:pPr>
    </w:p>
    <w:p w14:paraId="0C1FD581" w14:textId="77777777" w:rsidR="0056217B" w:rsidRDefault="0056217B">
      <w:pPr>
        <w:spacing w:after="160" w:line="259" w:lineRule="auto"/>
        <w:rPr>
          <w:sz w:val="32"/>
          <w:szCs w:val="32"/>
        </w:rPr>
      </w:pPr>
      <w:r>
        <w:rPr>
          <w:sz w:val="32"/>
          <w:szCs w:val="32"/>
        </w:rPr>
        <w:br w:type="page"/>
      </w:r>
    </w:p>
    <w:p w14:paraId="22A8F8DC" w14:textId="5FE3358D" w:rsidR="00DD0C33" w:rsidRPr="003D737A" w:rsidRDefault="002D6704" w:rsidP="00DB5C82">
      <w:pPr>
        <w:spacing w:line="276" w:lineRule="auto"/>
        <w:jc w:val="center"/>
        <w:rPr>
          <w:rFonts w:eastAsia="Calibri"/>
          <w:sz w:val="28"/>
          <w:szCs w:val="28"/>
          <w:lang w:eastAsia="en-US"/>
        </w:rPr>
      </w:pPr>
      <w:r w:rsidRPr="002D6704">
        <w:rPr>
          <w:rFonts w:eastAsia="Calibri"/>
          <w:i/>
          <w:sz w:val="28"/>
          <w:szCs w:val="28"/>
          <w:lang w:eastAsia="en-US"/>
        </w:rPr>
        <w:lastRenderedPageBreak/>
        <w:t>HUMAN RIGHTS ABUSE AND FACT FINDING: EXPERIENCE OF THE UN INQUIRY ON NORTH KOREA</w:t>
      </w:r>
      <w:r w:rsidR="00BF6961" w:rsidRPr="003D737A">
        <w:rPr>
          <w:rStyle w:val="FootnoteReference"/>
          <w:rFonts w:eastAsia="Calibri"/>
          <w:sz w:val="28"/>
          <w:szCs w:val="28"/>
          <w:lang w:eastAsia="en-US"/>
        </w:rPr>
        <w:footnoteReference w:customMarkFollows="1" w:id="1"/>
        <w:t>*</w:t>
      </w:r>
      <w:r w:rsidR="00461CD8" w:rsidRPr="003D737A">
        <w:rPr>
          <w:rFonts w:eastAsia="Calibri"/>
          <w:sz w:val="28"/>
          <w:szCs w:val="28"/>
          <w:lang w:eastAsia="en-US"/>
        </w:rPr>
        <w:br/>
      </w:r>
    </w:p>
    <w:p w14:paraId="7F07C44E" w14:textId="7839A572" w:rsidR="004A1D02" w:rsidRDefault="00103716" w:rsidP="006E5CF7">
      <w:pPr>
        <w:spacing w:line="276" w:lineRule="auto"/>
        <w:jc w:val="center"/>
        <w:rPr>
          <w:sz w:val="28"/>
          <w:szCs w:val="28"/>
        </w:rPr>
      </w:pPr>
      <w:r>
        <w:rPr>
          <w:sz w:val="28"/>
          <w:szCs w:val="28"/>
        </w:rPr>
        <w:t>The Hon. Michael Kirby AC CMG</w:t>
      </w:r>
      <w:r w:rsidR="007F48AF">
        <w:rPr>
          <w:rStyle w:val="FootnoteReference"/>
          <w:sz w:val="28"/>
          <w:szCs w:val="28"/>
        </w:rPr>
        <w:footnoteReference w:customMarkFollows="1" w:id="2"/>
        <w:t>**</w:t>
      </w:r>
    </w:p>
    <w:p w14:paraId="2DD8D056" w14:textId="77777777" w:rsidR="00103716" w:rsidRDefault="00103716" w:rsidP="00B72F80">
      <w:pPr>
        <w:spacing w:line="276" w:lineRule="auto"/>
        <w:jc w:val="both"/>
        <w:rPr>
          <w:sz w:val="28"/>
          <w:szCs w:val="28"/>
        </w:rPr>
      </w:pPr>
    </w:p>
    <w:p w14:paraId="508033B1" w14:textId="77777777" w:rsidR="00B72F80" w:rsidRDefault="00B72F80" w:rsidP="00B72F80">
      <w:pPr>
        <w:spacing w:line="276" w:lineRule="auto"/>
        <w:jc w:val="both"/>
        <w:rPr>
          <w:sz w:val="28"/>
          <w:szCs w:val="28"/>
        </w:rPr>
      </w:pPr>
    </w:p>
    <w:p w14:paraId="0FAB82FA" w14:textId="1A7894BD" w:rsidR="00663620" w:rsidRDefault="008C53C1" w:rsidP="001C22EA">
      <w:pPr>
        <w:spacing w:line="360" w:lineRule="auto"/>
        <w:jc w:val="both"/>
        <w:rPr>
          <w:rFonts w:ascii="Arial" w:hAnsi="Arial" w:cs="Arial"/>
          <w:sz w:val="28"/>
          <w:szCs w:val="28"/>
        </w:rPr>
      </w:pPr>
      <w:r>
        <w:rPr>
          <w:rFonts w:ascii="Arial" w:hAnsi="Arial" w:cs="Arial"/>
          <w:sz w:val="28"/>
          <w:szCs w:val="28"/>
        </w:rPr>
        <w:t>In 2013</w:t>
      </w:r>
      <w:r w:rsidR="001C22EA">
        <w:rPr>
          <w:rFonts w:ascii="Arial" w:hAnsi="Arial" w:cs="Arial"/>
          <w:sz w:val="28"/>
          <w:szCs w:val="28"/>
        </w:rPr>
        <w:t>, the United Nations Human Rights Council (HRC) established a Commission of Inquiry (COI) to investigate and report on human rights abuses in the Democratic People’s Republic of Korea (DPRK) (North Korea).</w:t>
      </w:r>
      <w:r w:rsidR="001C22EA">
        <w:rPr>
          <w:rStyle w:val="FootnoteReference"/>
          <w:rFonts w:ascii="Arial" w:hAnsi="Arial" w:cs="Arial"/>
          <w:sz w:val="28"/>
          <w:szCs w:val="28"/>
        </w:rPr>
        <w:footnoteReference w:id="3"/>
      </w:r>
      <w:r w:rsidR="001C22EA">
        <w:rPr>
          <w:rFonts w:ascii="Arial" w:hAnsi="Arial" w:cs="Arial"/>
          <w:sz w:val="28"/>
          <w:szCs w:val="28"/>
        </w:rPr>
        <w:t xml:space="preserve">  The inquiry followed many years of disturbing reports </w:t>
      </w:r>
      <w:r w:rsidR="000D4F40">
        <w:rPr>
          <w:rFonts w:ascii="Arial" w:hAnsi="Arial" w:cs="Arial"/>
          <w:sz w:val="28"/>
          <w:szCs w:val="28"/>
        </w:rPr>
        <w:t>out of</w:t>
      </w:r>
      <w:r w:rsidR="001C22EA">
        <w:rPr>
          <w:rFonts w:ascii="Arial" w:hAnsi="Arial" w:cs="Arial"/>
          <w:sz w:val="28"/>
          <w:szCs w:val="28"/>
        </w:rPr>
        <w:t xml:space="preserve"> North Korea.  Although a Member State of the United Nations since 1993, DPRK had not cooperated with the United Nations human rights machinery.  It had not permitted successive special rapporteurs, appointed by the HRC</w:t>
      </w:r>
      <w:r w:rsidR="000D4F40">
        <w:rPr>
          <w:rFonts w:ascii="Arial" w:hAnsi="Arial" w:cs="Arial"/>
          <w:sz w:val="28"/>
          <w:szCs w:val="28"/>
        </w:rPr>
        <w:t>,</w:t>
      </w:r>
      <w:r>
        <w:rPr>
          <w:rFonts w:ascii="Arial" w:hAnsi="Arial" w:cs="Arial"/>
          <w:sz w:val="28"/>
          <w:szCs w:val="28"/>
        </w:rPr>
        <w:t xml:space="preserve"> to visit</w:t>
      </w:r>
      <w:r w:rsidR="001C22EA">
        <w:rPr>
          <w:rFonts w:ascii="Arial" w:hAnsi="Arial" w:cs="Arial"/>
          <w:sz w:val="28"/>
          <w:szCs w:val="28"/>
        </w:rPr>
        <w:t xml:space="preserve">.  It had not </w:t>
      </w:r>
      <w:r w:rsidR="000D4F40">
        <w:rPr>
          <w:rFonts w:ascii="Arial" w:hAnsi="Arial" w:cs="Arial"/>
          <w:sz w:val="28"/>
          <w:szCs w:val="28"/>
        </w:rPr>
        <w:t>invited</w:t>
      </w:r>
      <w:r w:rsidR="001C22EA">
        <w:rPr>
          <w:rFonts w:ascii="Arial" w:hAnsi="Arial" w:cs="Arial"/>
          <w:sz w:val="28"/>
          <w:szCs w:val="28"/>
        </w:rPr>
        <w:t xml:space="preserve"> the High Commissioner for Human Rights (HCHR) to visit.  Effectively, it had closed its borders, only allowing a trickle of tourists who were kept under close watch and restricted in their movements.  It </w:t>
      </w:r>
      <w:r w:rsidR="000D4F40">
        <w:rPr>
          <w:rFonts w:ascii="Arial" w:hAnsi="Arial" w:cs="Arial"/>
          <w:sz w:val="28"/>
          <w:szCs w:val="28"/>
        </w:rPr>
        <w:t>wa</w:t>
      </w:r>
      <w:r w:rsidR="001C22EA">
        <w:rPr>
          <w:rFonts w:ascii="Arial" w:hAnsi="Arial" w:cs="Arial"/>
          <w:sz w:val="28"/>
          <w:szCs w:val="28"/>
        </w:rPr>
        <w:t xml:space="preserve">s commonly referred to as the “hermit kingdom”.  </w:t>
      </w:r>
    </w:p>
    <w:p w14:paraId="584A93A0" w14:textId="77777777" w:rsidR="00663620" w:rsidRDefault="00663620" w:rsidP="001C22EA">
      <w:pPr>
        <w:spacing w:line="360" w:lineRule="auto"/>
        <w:jc w:val="both"/>
        <w:rPr>
          <w:rFonts w:ascii="Arial" w:hAnsi="Arial" w:cs="Arial"/>
          <w:sz w:val="28"/>
          <w:szCs w:val="28"/>
        </w:rPr>
      </w:pPr>
    </w:p>
    <w:p w14:paraId="4F05AD67" w14:textId="7B7A0990" w:rsidR="001C22EA" w:rsidRDefault="001C22EA" w:rsidP="001C22EA">
      <w:pPr>
        <w:spacing w:line="360" w:lineRule="auto"/>
        <w:jc w:val="both"/>
        <w:rPr>
          <w:rFonts w:ascii="Arial" w:hAnsi="Arial" w:cs="Arial"/>
          <w:sz w:val="28"/>
          <w:szCs w:val="28"/>
        </w:rPr>
      </w:pPr>
      <w:r>
        <w:rPr>
          <w:rFonts w:ascii="Arial" w:hAnsi="Arial" w:cs="Arial"/>
          <w:sz w:val="28"/>
          <w:szCs w:val="28"/>
        </w:rPr>
        <w:t>Getting up to date, accurate and representative evidence to respond to the nine point mandate for the</w:t>
      </w:r>
      <w:r w:rsidR="008C53C1">
        <w:rPr>
          <w:rFonts w:ascii="Arial" w:hAnsi="Arial" w:cs="Arial"/>
          <w:sz w:val="28"/>
          <w:szCs w:val="28"/>
        </w:rPr>
        <w:t xml:space="preserve"> COI</w:t>
      </w:r>
      <w:r>
        <w:rPr>
          <w:rFonts w:ascii="Arial" w:hAnsi="Arial" w:cs="Arial"/>
          <w:sz w:val="28"/>
          <w:szCs w:val="28"/>
        </w:rPr>
        <w:t xml:space="preserve"> inquiry, w</w:t>
      </w:r>
      <w:r w:rsidR="00663620">
        <w:rPr>
          <w:rFonts w:ascii="Arial" w:hAnsi="Arial" w:cs="Arial"/>
          <w:sz w:val="28"/>
          <w:szCs w:val="28"/>
        </w:rPr>
        <w:t>as bound to</w:t>
      </w:r>
      <w:r>
        <w:rPr>
          <w:rFonts w:ascii="Arial" w:hAnsi="Arial" w:cs="Arial"/>
          <w:sz w:val="28"/>
          <w:szCs w:val="28"/>
        </w:rPr>
        <w:t xml:space="preserve"> be extremely difficult.  As expected, the government of DPRK, through its mission in Geneva, </w:t>
      </w:r>
      <w:r w:rsidR="000D4F40">
        <w:rPr>
          <w:rFonts w:ascii="Arial" w:hAnsi="Arial" w:cs="Arial"/>
          <w:sz w:val="28"/>
          <w:szCs w:val="28"/>
        </w:rPr>
        <w:t xml:space="preserve">effectively </w:t>
      </w:r>
      <w:r>
        <w:rPr>
          <w:rFonts w:ascii="Arial" w:hAnsi="Arial" w:cs="Arial"/>
          <w:sz w:val="28"/>
          <w:szCs w:val="28"/>
        </w:rPr>
        <w:t xml:space="preserve">ignored requests from the COI to permit </w:t>
      </w:r>
      <w:r w:rsidR="00663620">
        <w:rPr>
          <w:rFonts w:ascii="Arial" w:hAnsi="Arial" w:cs="Arial"/>
          <w:sz w:val="28"/>
          <w:szCs w:val="28"/>
        </w:rPr>
        <w:t>its members and staff</w:t>
      </w:r>
      <w:r>
        <w:rPr>
          <w:rFonts w:ascii="Arial" w:hAnsi="Arial" w:cs="Arial"/>
          <w:sz w:val="28"/>
          <w:szCs w:val="28"/>
        </w:rPr>
        <w:t xml:space="preserve"> to visit the country.  It maintained that stance throughout the inquiry.  When, in the end, copy of the draft report was transmitted electronically through the Geneva embassy </w:t>
      </w:r>
      <w:r w:rsidR="008C53C1">
        <w:rPr>
          <w:rFonts w:ascii="Arial" w:hAnsi="Arial" w:cs="Arial"/>
          <w:sz w:val="28"/>
          <w:szCs w:val="28"/>
        </w:rPr>
        <w:t xml:space="preserve">of North Korea </w:t>
      </w:r>
      <w:r>
        <w:rPr>
          <w:rFonts w:ascii="Arial" w:hAnsi="Arial" w:cs="Arial"/>
          <w:sz w:val="28"/>
          <w:szCs w:val="28"/>
        </w:rPr>
        <w:t xml:space="preserve">to the Supreme Leader of DPRK (Kim Jong-un), with a warning that he might </w:t>
      </w:r>
      <w:r w:rsidR="00663620">
        <w:rPr>
          <w:rFonts w:ascii="Arial" w:hAnsi="Arial" w:cs="Arial"/>
          <w:sz w:val="28"/>
          <w:szCs w:val="28"/>
        </w:rPr>
        <w:lastRenderedPageBreak/>
        <w:t>himself</w:t>
      </w:r>
      <w:r w:rsidR="000D4F40">
        <w:rPr>
          <w:rFonts w:ascii="Arial" w:hAnsi="Arial" w:cs="Arial"/>
          <w:sz w:val="28"/>
          <w:szCs w:val="28"/>
        </w:rPr>
        <w:t xml:space="preserve"> be</w:t>
      </w:r>
      <w:r>
        <w:rPr>
          <w:rFonts w:ascii="Arial" w:hAnsi="Arial" w:cs="Arial"/>
          <w:sz w:val="28"/>
          <w:szCs w:val="28"/>
        </w:rPr>
        <w:t xml:space="preserve"> personally accountable for crimes against humanity found in the report, this too was ignored.  However, DPRK was aware of the inquiry.  It regularly denounced it and its members.  When it criticised the inquiry and its procedures, the members and the United Nations, offered to come to Pyongyang to explain the</w:t>
      </w:r>
      <w:r w:rsidR="008C53C1">
        <w:rPr>
          <w:rFonts w:ascii="Arial" w:hAnsi="Arial" w:cs="Arial"/>
          <w:sz w:val="28"/>
          <w:szCs w:val="28"/>
        </w:rPr>
        <w:t>ir</w:t>
      </w:r>
      <w:r w:rsidR="000D4F40">
        <w:rPr>
          <w:rFonts w:ascii="Arial" w:hAnsi="Arial" w:cs="Arial"/>
          <w:sz w:val="28"/>
          <w:szCs w:val="28"/>
        </w:rPr>
        <w:t xml:space="preserve"> mandate and</w:t>
      </w:r>
      <w:r>
        <w:rPr>
          <w:rFonts w:ascii="Arial" w:hAnsi="Arial" w:cs="Arial"/>
          <w:sz w:val="28"/>
          <w:szCs w:val="28"/>
        </w:rPr>
        <w:t xml:space="preserve"> report and </w:t>
      </w:r>
      <w:r w:rsidR="00663620">
        <w:rPr>
          <w:rFonts w:ascii="Arial" w:hAnsi="Arial" w:cs="Arial"/>
          <w:sz w:val="28"/>
          <w:szCs w:val="28"/>
        </w:rPr>
        <w:t xml:space="preserve">to </w:t>
      </w:r>
      <w:r>
        <w:rPr>
          <w:rFonts w:ascii="Arial" w:hAnsi="Arial" w:cs="Arial"/>
          <w:sz w:val="28"/>
          <w:szCs w:val="28"/>
        </w:rPr>
        <w:t>answer questions.   This offer was</w:t>
      </w:r>
      <w:r w:rsidR="008C53C1" w:rsidRPr="008C53C1">
        <w:rPr>
          <w:rFonts w:ascii="Arial" w:hAnsi="Arial" w:cs="Arial"/>
          <w:sz w:val="28"/>
          <w:szCs w:val="28"/>
        </w:rPr>
        <w:t xml:space="preserve"> also</w:t>
      </w:r>
      <w:r>
        <w:rPr>
          <w:rFonts w:ascii="Arial" w:hAnsi="Arial" w:cs="Arial"/>
          <w:sz w:val="28"/>
          <w:szCs w:val="28"/>
        </w:rPr>
        <w:t xml:space="preserve"> ignored.  </w:t>
      </w:r>
    </w:p>
    <w:p w14:paraId="7F25A286" w14:textId="77777777" w:rsidR="001C22EA" w:rsidRDefault="001C22EA" w:rsidP="001C22EA">
      <w:pPr>
        <w:spacing w:line="360" w:lineRule="auto"/>
        <w:jc w:val="both"/>
        <w:rPr>
          <w:rFonts w:ascii="Arial" w:hAnsi="Arial" w:cs="Arial"/>
          <w:sz w:val="28"/>
          <w:szCs w:val="28"/>
        </w:rPr>
      </w:pPr>
    </w:p>
    <w:p w14:paraId="02A44F80" w14:textId="7260ED75" w:rsidR="00663620" w:rsidRDefault="00663620" w:rsidP="001C22EA">
      <w:pPr>
        <w:spacing w:line="360" w:lineRule="auto"/>
        <w:jc w:val="both"/>
        <w:rPr>
          <w:rFonts w:ascii="Arial" w:hAnsi="Arial" w:cs="Arial"/>
          <w:sz w:val="28"/>
          <w:szCs w:val="28"/>
        </w:rPr>
      </w:pPr>
      <w:r>
        <w:rPr>
          <w:rFonts w:ascii="Arial" w:hAnsi="Arial" w:cs="Arial"/>
          <w:sz w:val="28"/>
          <w:szCs w:val="28"/>
        </w:rPr>
        <w:t>F</w:t>
      </w:r>
      <w:r w:rsidR="001C22EA">
        <w:rPr>
          <w:rFonts w:ascii="Arial" w:hAnsi="Arial" w:cs="Arial"/>
          <w:sz w:val="28"/>
          <w:szCs w:val="28"/>
        </w:rPr>
        <w:t xml:space="preserve">aced with such intransigence, the COI was brought to realise the importance of the compulsory procedure of </w:t>
      </w:r>
      <w:r>
        <w:rPr>
          <w:rFonts w:ascii="Arial" w:hAnsi="Arial" w:cs="Arial"/>
          <w:i/>
          <w:sz w:val="28"/>
          <w:szCs w:val="28"/>
        </w:rPr>
        <w:t>s</w:t>
      </w:r>
      <w:r w:rsidR="001C22EA" w:rsidRPr="001C22EA">
        <w:rPr>
          <w:rFonts w:ascii="Arial" w:hAnsi="Arial" w:cs="Arial"/>
          <w:i/>
          <w:sz w:val="28"/>
          <w:szCs w:val="28"/>
        </w:rPr>
        <w:t>ubpoena</w:t>
      </w:r>
      <w:r w:rsidR="001C22EA">
        <w:rPr>
          <w:rFonts w:ascii="Arial" w:hAnsi="Arial" w:cs="Arial"/>
          <w:sz w:val="28"/>
          <w:szCs w:val="28"/>
        </w:rPr>
        <w:t xml:space="preserve"> (lit. </w:t>
      </w:r>
      <w:r>
        <w:rPr>
          <w:rFonts w:ascii="Arial" w:hAnsi="Arial" w:cs="Arial"/>
          <w:sz w:val="28"/>
          <w:szCs w:val="28"/>
        </w:rPr>
        <w:t>“</w:t>
      </w:r>
      <w:r w:rsidR="001C22EA">
        <w:rPr>
          <w:rFonts w:ascii="Arial" w:hAnsi="Arial" w:cs="Arial"/>
          <w:sz w:val="28"/>
          <w:szCs w:val="28"/>
        </w:rPr>
        <w:t>under the power</w:t>
      </w:r>
      <w:r>
        <w:rPr>
          <w:rFonts w:ascii="Arial" w:hAnsi="Arial" w:cs="Arial"/>
          <w:sz w:val="28"/>
          <w:szCs w:val="28"/>
        </w:rPr>
        <w:t>”</w:t>
      </w:r>
      <w:r w:rsidR="001C22EA">
        <w:rPr>
          <w:rFonts w:ascii="Arial" w:hAnsi="Arial" w:cs="Arial"/>
          <w:sz w:val="28"/>
          <w:szCs w:val="28"/>
        </w:rPr>
        <w:t xml:space="preserve">), developed in </w:t>
      </w:r>
      <w:r>
        <w:rPr>
          <w:rFonts w:ascii="Arial" w:hAnsi="Arial" w:cs="Arial"/>
          <w:sz w:val="28"/>
          <w:szCs w:val="28"/>
        </w:rPr>
        <w:t>national</w:t>
      </w:r>
      <w:r w:rsidR="001C22EA">
        <w:rPr>
          <w:rFonts w:ascii="Arial" w:hAnsi="Arial" w:cs="Arial"/>
          <w:sz w:val="28"/>
          <w:szCs w:val="28"/>
        </w:rPr>
        <w:t xml:space="preserve"> legal system</w:t>
      </w:r>
      <w:r>
        <w:rPr>
          <w:rFonts w:ascii="Arial" w:hAnsi="Arial" w:cs="Arial"/>
          <w:sz w:val="28"/>
          <w:szCs w:val="28"/>
        </w:rPr>
        <w:t>s</w:t>
      </w:r>
      <w:r w:rsidR="001C22EA">
        <w:rPr>
          <w:rFonts w:ascii="Arial" w:hAnsi="Arial" w:cs="Arial"/>
          <w:sz w:val="28"/>
          <w:szCs w:val="28"/>
        </w:rPr>
        <w:t xml:space="preserve"> to ensure that</w:t>
      </w:r>
      <w:r>
        <w:rPr>
          <w:rFonts w:ascii="Arial" w:hAnsi="Arial" w:cs="Arial"/>
          <w:sz w:val="28"/>
          <w:szCs w:val="28"/>
        </w:rPr>
        <w:t xml:space="preserve"> parties,</w:t>
      </w:r>
      <w:r w:rsidR="001C22EA">
        <w:rPr>
          <w:rFonts w:ascii="Arial" w:hAnsi="Arial" w:cs="Arial"/>
          <w:sz w:val="28"/>
          <w:szCs w:val="28"/>
        </w:rPr>
        <w:t xml:space="preserve"> persons </w:t>
      </w:r>
      <w:r>
        <w:rPr>
          <w:rFonts w:ascii="Arial" w:hAnsi="Arial" w:cs="Arial"/>
          <w:sz w:val="28"/>
          <w:szCs w:val="28"/>
        </w:rPr>
        <w:t>and</w:t>
      </w:r>
      <w:r w:rsidR="001C22EA">
        <w:rPr>
          <w:rFonts w:ascii="Arial" w:hAnsi="Arial" w:cs="Arial"/>
          <w:sz w:val="28"/>
          <w:szCs w:val="28"/>
        </w:rPr>
        <w:t xml:space="preserve"> record</w:t>
      </w:r>
      <w:r>
        <w:rPr>
          <w:rFonts w:ascii="Arial" w:hAnsi="Arial" w:cs="Arial"/>
          <w:sz w:val="28"/>
          <w:szCs w:val="28"/>
        </w:rPr>
        <w:t>s</w:t>
      </w:r>
      <w:r w:rsidR="001C22EA">
        <w:rPr>
          <w:rFonts w:ascii="Arial" w:hAnsi="Arial" w:cs="Arial"/>
          <w:sz w:val="28"/>
          <w:szCs w:val="28"/>
        </w:rPr>
        <w:t xml:space="preserve"> relevant to a proceeding are bought </w:t>
      </w:r>
      <w:r>
        <w:rPr>
          <w:rFonts w:ascii="Arial" w:hAnsi="Arial" w:cs="Arial"/>
          <w:sz w:val="28"/>
          <w:szCs w:val="28"/>
        </w:rPr>
        <w:t>before</w:t>
      </w:r>
      <w:r w:rsidR="001C22EA">
        <w:rPr>
          <w:rFonts w:ascii="Arial" w:hAnsi="Arial" w:cs="Arial"/>
          <w:sz w:val="28"/>
          <w:szCs w:val="28"/>
        </w:rPr>
        <w:t xml:space="preserve"> those with the responsibility of decision.  Whilst the HRC strongly and repeatedly urged DPRK to cooperate with the COI, its injunctions fell on deaf ears.  </w:t>
      </w:r>
      <w:r>
        <w:rPr>
          <w:rFonts w:ascii="Arial" w:hAnsi="Arial" w:cs="Arial"/>
          <w:sz w:val="28"/>
          <w:szCs w:val="28"/>
        </w:rPr>
        <w:t>Yet, obviously,</w:t>
      </w:r>
      <w:r w:rsidR="001C22EA">
        <w:rPr>
          <w:rFonts w:ascii="Arial" w:hAnsi="Arial" w:cs="Arial"/>
          <w:sz w:val="28"/>
          <w:szCs w:val="28"/>
        </w:rPr>
        <w:t xml:space="preserve"> this want of cooperation could not </w:t>
      </w:r>
      <w:r w:rsidR="000D4F40">
        <w:rPr>
          <w:rFonts w:ascii="Arial" w:hAnsi="Arial" w:cs="Arial"/>
          <w:sz w:val="28"/>
          <w:szCs w:val="28"/>
        </w:rPr>
        <w:t>frustrate</w:t>
      </w:r>
      <w:r w:rsidR="001C22EA">
        <w:rPr>
          <w:rFonts w:ascii="Arial" w:hAnsi="Arial" w:cs="Arial"/>
          <w:sz w:val="28"/>
          <w:szCs w:val="28"/>
        </w:rPr>
        <w:t xml:space="preserve"> the COI </w:t>
      </w:r>
      <w:r w:rsidR="000D4F40">
        <w:rPr>
          <w:rFonts w:ascii="Arial" w:hAnsi="Arial" w:cs="Arial"/>
          <w:sz w:val="28"/>
          <w:szCs w:val="28"/>
        </w:rPr>
        <w:t>in</w:t>
      </w:r>
      <w:r w:rsidR="001C22EA">
        <w:rPr>
          <w:rFonts w:ascii="Arial" w:hAnsi="Arial" w:cs="Arial"/>
          <w:sz w:val="28"/>
          <w:szCs w:val="28"/>
        </w:rPr>
        <w:t xml:space="preserve"> attempting to discharge its mandate.  Any more than a national court or inquiry would simply surrender in the face of non-cooperation.  </w:t>
      </w:r>
    </w:p>
    <w:p w14:paraId="049A4FE4" w14:textId="77777777" w:rsidR="00663620" w:rsidRDefault="00663620" w:rsidP="001C22EA">
      <w:pPr>
        <w:spacing w:line="360" w:lineRule="auto"/>
        <w:jc w:val="both"/>
        <w:rPr>
          <w:rFonts w:ascii="Arial" w:hAnsi="Arial" w:cs="Arial"/>
          <w:sz w:val="28"/>
          <w:szCs w:val="28"/>
        </w:rPr>
      </w:pPr>
    </w:p>
    <w:p w14:paraId="4DC53978" w14:textId="04426642" w:rsidR="00E46657" w:rsidRDefault="001C22EA" w:rsidP="001C22EA">
      <w:pPr>
        <w:spacing w:line="360" w:lineRule="auto"/>
        <w:jc w:val="both"/>
        <w:rPr>
          <w:rFonts w:ascii="Arial" w:hAnsi="Arial" w:cs="Arial"/>
          <w:sz w:val="28"/>
          <w:szCs w:val="28"/>
        </w:rPr>
      </w:pPr>
      <w:r>
        <w:rPr>
          <w:rFonts w:ascii="Arial" w:hAnsi="Arial" w:cs="Arial"/>
          <w:sz w:val="28"/>
          <w:szCs w:val="28"/>
        </w:rPr>
        <w:t>The</w:t>
      </w:r>
      <w:r w:rsidR="00663620">
        <w:rPr>
          <w:rFonts w:ascii="Arial" w:hAnsi="Arial" w:cs="Arial"/>
          <w:sz w:val="28"/>
          <w:szCs w:val="28"/>
        </w:rPr>
        <w:t xml:space="preserve"> three</w:t>
      </w:r>
      <w:r>
        <w:rPr>
          <w:rFonts w:ascii="Arial" w:hAnsi="Arial" w:cs="Arial"/>
          <w:sz w:val="28"/>
          <w:szCs w:val="28"/>
        </w:rPr>
        <w:t xml:space="preserve"> members of the COI came from differing cultural and legal traditions.  Two (Marzuki Darusman, Indonesia and Sonja Biserko, Serbia) </w:t>
      </w:r>
      <w:r w:rsidR="008C53C1">
        <w:rPr>
          <w:rFonts w:ascii="Arial" w:hAnsi="Arial" w:cs="Arial"/>
          <w:sz w:val="28"/>
          <w:szCs w:val="28"/>
        </w:rPr>
        <w:t>came</w:t>
      </w:r>
      <w:r>
        <w:rPr>
          <w:rFonts w:ascii="Arial" w:hAnsi="Arial" w:cs="Arial"/>
          <w:sz w:val="28"/>
          <w:szCs w:val="28"/>
        </w:rPr>
        <w:t xml:space="preserve"> from countries that </w:t>
      </w:r>
      <w:r w:rsidR="00663620">
        <w:rPr>
          <w:rFonts w:ascii="Arial" w:hAnsi="Arial" w:cs="Arial"/>
          <w:sz w:val="28"/>
          <w:szCs w:val="28"/>
        </w:rPr>
        <w:t>follow</w:t>
      </w:r>
      <w:r>
        <w:rPr>
          <w:rFonts w:ascii="Arial" w:hAnsi="Arial" w:cs="Arial"/>
          <w:sz w:val="28"/>
          <w:szCs w:val="28"/>
        </w:rPr>
        <w:t xml:space="preserve"> the civil law traditions</w:t>
      </w:r>
      <w:r w:rsidR="00663620">
        <w:rPr>
          <w:rFonts w:ascii="Arial" w:hAnsi="Arial" w:cs="Arial"/>
          <w:sz w:val="28"/>
          <w:szCs w:val="28"/>
        </w:rPr>
        <w:t>,</w:t>
      </w:r>
      <w:r>
        <w:rPr>
          <w:rFonts w:ascii="Arial" w:hAnsi="Arial" w:cs="Arial"/>
          <w:sz w:val="28"/>
          <w:szCs w:val="28"/>
        </w:rPr>
        <w:t xml:space="preserve"> ultimately traced back to France and Germany.</w:t>
      </w:r>
      <w:r w:rsidR="00EC5DCC">
        <w:rPr>
          <w:rFonts w:ascii="Arial" w:hAnsi="Arial" w:cs="Arial"/>
          <w:sz w:val="28"/>
          <w:szCs w:val="28"/>
        </w:rPr>
        <w:t xml:space="preserve">  My</w:t>
      </w:r>
      <w:r w:rsidR="00663620">
        <w:rPr>
          <w:rFonts w:ascii="Arial" w:hAnsi="Arial" w:cs="Arial"/>
          <w:sz w:val="28"/>
          <w:szCs w:val="28"/>
        </w:rPr>
        <w:t xml:space="preserve"> own</w:t>
      </w:r>
      <w:r w:rsidR="00EC5DCC">
        <w:rPr>
          <w:rFonts w:ascii="Arial" w:hAnsi="Arial" w:cs="Arial"/>
          <w:sz w:val="28"/>
          <w:szCs w:val="28"/>
        </w:rPr>
        <w:t xml:space="preserve"> experience had been in the common law tradition</w:t>
      </w:r>
      <w:r w:rsidR="00E46657">
        <w:rPr>
          <w:rFonts w:ascii="Arial" w:hAnsi="Arial" w:cs="Arial"/>
          <w:sz w:val="28"/>
          <w:szCs w:val="28"/>
        </w:rPr>
        <w:t xml:space="preserve"> derived from England</w:t>
      </w:r>
      <w:r w:rsidR="00EC5DCC">
        <w:rPr>
          <w:rFonts w:ascii="Arial" w:hAnsi="Arial" w:cs="Arial"/>
          <w:sz w:val="28"/>
          <w:szCs w:val="28"/>
        </w:rPr>
        <w:t xml:space="preserve">.  Most UN </w:t>
      </w:r>
      <w:r w:rsidR="00E46657">
        <w:rPr>
          <w:rFonts w:ascii="Arial" w:hAnsi="Arial" w:cs="Arial"/>
          <w:sz w:val="28"/>
          <w:szCs w:val="28"/>
        </w:rPr>
        <w:t xml:space="preserve">are </w:t>
      </w:r>
      <w:r w:rsidR="00EC5DCC">
        <w:rPr>
          <w:rFonts w:ascii="Arial" w:hAnsi="Arial" w:cs="Arial"/>
          <w:sz w:val="28"/>
          <w:szCs w:val="28"/>
        </w:rPr>
        <w:t>carried out by professors and public officials from civilian countries.  The COI on DPRK gave a great deal of attention</w:t>
      </w:r>
      <w:r w:rsidR="00E46657">
        <w:rPr>
          <w:rFonts w:ascii="Arial" w:hAnsi="Arial" w:cs="Arial"/>
          <w:sz w:val="28"/>
          <w:szCs w:val="28"/>
        </w:rPr>
        <w:t>,</w:t>
      </w:r>
      <w:r w:rsidR="00EC5DCC">
        <w:rPr>
          <w:rFonts w:ascii="Arial" w:hAnsi="Arial" w:cs="Arial"/>
          <w:sz w:val="28"/>
          <w:szCs w:val="28"/>
        </w:rPr>
        <w:t xml:space="preserve"> at the threshold</w:t>
      </w:r>
      <w:r w:rsidR="00E46657">
        <w:rPr>
          <w:rFonts w:ascii="Arial" w:hAnsi="Arial" w:cs="Arial"/>
          <w:sz w:val="28"/>
          <w:szCs w:val="28"/>
        </w:rPr>
        <w:t>,</w:t>
      </w:r>
      <w:r w:rsidR="00EC5DCC">
        <w:rPr>
          <w:rFonts w:ascii="Arial" w:hAnsi="Arial" w:cs="Arial"/>
          <w:sz w:val="28"/>
          <w:szCs w:val="28"/>
        </w:rPr>
        <w:t xml:space="preserve"> to th</w:t>
      </w:r>
      <w:r w:rsidR="00E46657">
        <w:rPr>
          <w:rFonts w:ascii="Arial" w:hAnsi="Arial" w:cs="Arial"/>
          <w:sz w:val="28"/>
          <w:szCs w:val="28"/>
        </w:rPr>
        <w:t>e methodology that it sh</w:t>
      </w:r>
      <w:r w:rsidR="00EC5DCC">
        <w:rPr>
          <w:rFonts w:ascii="Arial" w:hAnsi="Arial" w:cs="Arial"/>
          <w:sz w:val="28"/>
          <w:szCs w:val="28"/>
        </w:rPr>
        <w:t>ou</w:t>
      </w:r>
      <w:r w:rsidR="000D4F40">
        <w:rPr>
          <w:rFonts w:ascii="Arial" w:hAnsi="Arial" w:cs="Arial"/>
          <w:sz w:val="28"/>
          <w:szCs w:val="28"/>
        </w:rPr>
        <w:t>ld adopt in order to overcome (</w:t>
      </w:r>
      <w:r w:rsidR="00EC5DCC">
        <w:rPr>
          <w:rFonts w:ascii="Arial" w:hAnsi="Arial" w:cs="Arial"/>
          <w:sz w:val="28"/>
          <w:szCs w:val="28"/>
        </w:rPr>
        <w:t>s</w:t>
      </w:r>
      <w:r w:rsidR="000D4F40">
        <w:rPr>
          <w:rFonts w:ascii="Arial" w:hAnsi="Arial" w:cs="Arial"/>
          <w:sz w:val="28"/>
          <w:szCs w:val="28"/>
        </w:rPr>
        <w:t>o</w:t>
      </w:r>
      <w:r w:rsidR="00EC5DCC">
        <w:rPr>
          <w:rFonts w:ascii="Arial" w:hAnsi="Arial" w:cs="Arial"/>
          <w:sz w:val="28"/>
          <w:szCs w:val="28"/>
        </w:rPr>
        <w:t xml:space="preserve"> far as possible) the </w:t>
      </w:r>
      <w:r w:rsidR="008C53C1">
        <w:rPr>
          <w:rFonts w:ascii="Arial" w:hAnsi="Arial" w:cs="Arial"/>
          <w:sz w:val="28"/>
          <w:szCs w:val="28"/>
        </w:rPr>
        <w:t xml:space="preserve">hostility and non-cooperation </w:t>
      </w:r>
      <w:r w:rsidR="000D4F40">
        <w:rPr>
          <w:rFonts w:ascii="Arial" w:hAnsi="Arial" w:cs="Arial"/>
          <w:sz w:val="28"/>
          <w:szCs w:val="28"/>
        </w:rPr>
        <w:t>of</w:t>
      </w:r>
      <w:r w:rsidR="00EC5DCC">
        <w:rPr>
          <w:rFonts w:ascii="Arial" w:hAnsi="Arial" w:cs="Arial"/>
          <w:sz w:val="28"/>
          <w:szCs w:val="28"/>
        </w:rPr>
        <w:t xml:space="preserve"> the subject country.</w:t>
      </w:r>
      <w:r w:rsidR="000D4F40">
        <w:rPr>
          <w:rStyle w:val="FootnoteReference"/>
          <w:rFonts w:ascii="Arial" w:hAnsi="Arial" w:cs="Arial"/>
          <w:sz w:val="28"/>
          <w:szCs w:val="28"/>
        </w:rPr>
        <w:footnoteReference w:id="4"/>
      </w:r>
      <w:r w:rsidR="00EC5DCC">
        <w:rPr>
          <w:rFonts w:ascii="Arial" w:hAnsi="Arial" w:cs="Arial"/>
          <w:sz w:val="28"/>
          <w:szCs w:val="28"/>
        </w:rPr>
        <w:t xml:space="preserve">  </w:t>
      </w:r>
    </w:p>
    <w:p w14:paraId="39D521E5" w14:textId="77777777" w:rsidR="00E46657" w:rsidRDefault="00E46657" w:rsidP="001C22EA">
      <w:pPr>
        <w:spacing w:line="360" w:lineRule="auto"/>
        <w:jc w:val="both"/>
        <w:rPr>
          <w:rFonts w:ascii="Arial" w:hAnsi="Arial" w:cs="Arial"/>
          <w:sz w:val="28"/>
          <w:szCs w:val="28"/>
        </w:rPr>
      </w:pPr>
    </w:p>
    <w:p w14:paraId="377497E7" w14:textId="6EEAAFA3" w:rsidR="00C85BE7" w:rsidRDefault="00EC5DCC" w:rsidP="001C22EA">
      <w:pPr>
        <w:spacing w:line="360" w:lineRule="auto"/>
        <w:jc w:val="both"/>
        <w:rPr>
          <w:rFonts w:ascii="Arial" w:hAnsi="Arial" w:cs="Arial"/>
          <w:sz w:val="28"/>
          <w:szCs w:val="28"/>
        </w:rPr>
      </w:pPr>
      <w:r>
        <w:rPr>
          <w:rFonts w:ascii="Arial" w:hAnsi="Arial" w:cs="Arial"/>
          <w:sz w:val="28"/>
          <w:szCs w:val="28"/>
        </w:rPr>
        <w:t>The COI was not itself a court or tribunal.  It was not authorised to prosecute, still less to arraign and to determine the guilt of</w:t>
      </w:r>
      <w:r w:rsidR="000D4F40">
        <w:rPr>
          <w:rFonts w:ascii="Arial" w:hAnsi="Arial" w:cs="Arial"/>
          <w:sz w:val="28"/>
          <w:szCs w:val="28"/>
        </w:rPr>
        <w:t>,</w:t>
      </w:r>
      <w:r w:rsidR="00E46657">
        <w:rPr>
          <w:rFonts w:ascii="Arial" w:hAnsi="Arial" w:cs="Arial"/>
          <w:sz w:val="28"/>
          <w:szCs w:val="28"/>
        </w:rPr>
        <w:t xml:space="preserve"> the</w:t>
      </w:r>
      <w:r>
        <w:rPr>
          <w:rFonts w:ascii="Arial" w:hAnsi="Arial" w:cs="Arial"/>
          <w:sz w:val="28"/>
          <w:szCs w:val="28"/>
        </w:rPr>
        <w:t xml:space="preserve"> DPRK or</w:t>
      </w:r>
      <w:r w:rsidR="00E46657">
        <w:rPr>
          <w:rFonts w:ascii="Arial" w:hAnsi="Arial" w:cs="Arial"/>
          <w:sz w:val="28"/>
          <w:szCs w:val="28"/>
        </w:rPr>
        <w:t xml:space="preserve"> </w:t>
      </w:r>
      <w:r w:rsidR="000D4F40">
        <w:rPr>
          <w:rFonts w:ascii="Arial" w:hAnsi="Arial" w:cs="Arial"/>
          <w:sz w:val="28"/>
          <w:szCs w:val="28"/>
        </w:rPr>
        <w:t>any</w:t>
      </w:r>
      <w:r>
        <w:rPr>
          <w:rFonts w:ascii="Arial" w:hAnsi="Arial" w:cs="Arial"/>
          <w:sz w:val="28"/>
          <w:szCs w:val="28"/>
        </w:rPr>
        <w:t xml:space="preserve"> named officials.  The object of UN COIs in the area of human rights is to be “effective tools to draw out facts necessary for wider accountability efforts.”</w:t>
      </w:r>
      <w:r>
        <w:rPr>
          <w:rStyle w:val="FootnoteReference"/>
          <w:rFonts w:ascii="Arial" w:hAnsi="Arial" w:cs="Arial"/>
          <w:sz w:val="28"/>
          <w:szCs w:val="28"/>
        </w:rPr>
        <w:footnoteReference w:id="5"/>
      </w:r>
      <w:r>
        <w:rPr>
          <w:rFonts w:ascii="Arial" w:hAnsi="Arial" w:cs="Arial"/>
          <w:sz w:val="28"/>
          <w:szCs w:val="28"/>
        </w:rPr>
        <w:t xml:space="preserve"> </w:t>
      </w:r>
      <w:r w:rsidR="001C22EA">
        <w:rPr>
          <w:rFonts w:ascii="Arial" w:hAnsi="Arial" w:cs="Arial"/>
          <w:sz w:val="28"/>
          <w:szCs w:val="28"/>
        </w:rPr>
        <w:t xml:space="preserve">  </w:t>
      </w:r>
      <w:r>
        <w:rPr>
          <w:rFonts w:ascii="Arial" w:hAnsi="Arial" w:cs="Arial"/>
          <w:sz w:val="28"/>
          <w:szCs w:val="28"/>
        </w:rPr>
        <w:t>Self-evidently, all such inquiries must themselves conform with United Nations human rights law.  This means that they must accord natural justice (due process) to those who are the subject of inquiry and protection to those who give</w:t>
      </w:r>
      <w:r w:rsidR="000D4F40">
        <w:rPr>
          <w:rFonts w:ascii="Arial" w:hAnsi="Arial" w:cs="Arial"/>
          <w:sz w:val="28"/>
          <w:szCs w:val="28"/>
        </w:rPr>
        <w:t xml:space="preserve"> or produce</w:t>
      </w:r>
      <w:r>
        <w:rPr>
          <w:rFonts w:ascii="Arial" w:hAnsi="Arial" w:cs="Arial"/>
          <w:sz w:val="28"/>
          <w:szCs w:val="28"/>
        </w:rPr>
        <w:t xml:space="preserve"> testimony and may for that reason be at risk.  The COI on DPRK took these obligations seriously.</w:t>
      </w:r>
    </w:p>
    <w:p w14:paraId="3634DBB7" w14:textId="77777777" w:rsidR="00EC5DCC" w:rsidRDefault="00EC5DCC" w:rsidP="001C22EA">
      <w:pPr>
        <w:spacing w:line="360" w:lineRule="auto"/>
        <w:jc w:val="both"/>
        <w:rPr>
          <w:rFonts w:ascii="Arial" w:hAnsi="Arial" w:cs="Arial"/>
          <w:sz w:val="28"/>
          <w:szCs w:val="28"/>
        </w:rPr>
      </w:pPr>
    </w:p>
    <w:p w14:paraId="371DE2D9" w14:textId="77777777" w:rsidR="00EC5DCC" w:rsidRDefault="00EC5DCC" w:rsidP="001C22EA">
      <w:pPr>
        <w:spacing w:line="360" w:lineRule="auto"/>
        <w:jc w:val="both"/>
        <w:rPr>
          <w:rFonts w:ascii="Arial" w:hAnsi="Arial" w:cs="Arial"/>
          <w:sz w:val="28"/>
          <w:szCs w:val="28"/>
        </w:rPr>
      </w:pPr>
      <w:r>
        <w:rPr>
          <w:rFonts w:ascii="Arial" w:hAnsi="Arial" w:cs="Arial"/>
          <w:sz w:val="28"/>
          <w:szCs w:val="28"/>
        </w:rPr>
        <w:t xml:space="preserve">The methodology adopted included: </w:t>
      </w:r>
    </w:p>
    <w:p w14:paraId="27FAD1C8" w14:textId="77777777" w:rsidR="00EC5DCC" w:rsidRDefault="00EC5DCC" w:rsidP="001C22EA">
      <w:pPr>
        <w:spacing w:line="360" w:lineRule="auto"/>
        <w:jc w:val="both"/>
        <w:rPr>
          <w:rFonts w:ascii="Arial" w:hAnsi="Arial" w:cs="Arial"/>
          <w:sz w:val="28"/>
          <w:szCs w:val="28"/>
        </w:rPr>
      </w:pPr>
    </w:p>
    <w:p w14:paraId="6D9DF8D6" w14:textId="5ACFE9F8" w:rsidR="00EC5DCC" w:rsidRDefault="00EC5DCC" w:rsidP="00EC5DCC">
      <w:pPr>
        <w:pStyle w:val="ListParagraph"/>
        <w:numPr>
          <w:ilvl w:val="0"/>
          <w:numId w:val="26"/>
        </w:numPr>
        <w:spacing w:line="360" w:lineRule="auto"/>
        <w:jc w:val="both"/>
        <w:rPr>
          <w:rFonts w:ascii="Arial" w:hAnsi="Arial" w:cs="Arial"/>
          <w:sz w:val="28"/>
          <w:szCs w:val="28"/>
        </w:rPr>
      </w:pPr>
      <w:r>
        <w:rPr>
          <w:rFonts w:ascii="Arial" w:hAnsi="Arial" w:cs="Arial"/>
          <w:sz w:val="28"/>
          <w:szCs w:val="28"/>
        </w:rPr>
        <w:t xml:space="preserve"> </w:t>
      </w:r>
      <w:r w:rsidRPr="00EC5DCC">
        <w:rPr>
          <w:rFonts w:ascii="Arial" w:hAnsi="Arial" w:cs="Arial"/>
          <w:sz w:val="28"/>
          <w:szCs w:val="28"/>
        </w:rPr>
        <w:t xml:space="preserve">Advertising to invite witnesses to </w:t>
      </w:r>
      <w:r w:rsidR="008C53C1">
        <w:rPr>
          <w:rFonts w:ascii="Arial" w:hAnsi="Arial" w:cs="Arial"/>
          <w:sz w:val="28"/>
          <w:szCs w:val="28"/>
        </w:rPr>
        <w:t>identify</w:t>
      </w:r>
      <w:r w:rsidRPr="00EC5DCC">
        <w:rPr>
          <w:rFonts w:ascii="Arial" w:hAnsi="Arial" w:cs="Arial"/>
          <w:sz w:val="28"/>
          <w:szCs w:val="28"/>
        </w:rPr>
        <w:t xml:space="preserve"> complaints and</w:t>
      </w:r>
      <w:r w:rsidR="008C53C1">
        <w:rPr>
          <w:rFonts w:ascii="Arial" w:hAnsi="Arial" w:cs="Arial"/>
          <w:sz w:val="28"/>
          <w:szCs w:val="28"/>
        </w:rPr>
        <w:t xml:space="preserve"> offer</w:t>
      </w:r>
      <w:r w:rsidRPr="00EC5DCC">
        <w:rPr>
          <w:rFonts w:ascii="Arial" w:hAnsi="Arial" w:cs="Arial"/>
          <w:sz w:val="28"/>
          <w:szCs w:val="28"/>
        </w:rPr>
        <w:t xml:space="preserve"> testimony</w:t>
      </w:r>
      <w:r w:rsidR="00E46657">
        <w:rPr>
          <w:rFonts w:ascii="Arial" w:hAnsi="Arial" w:cs="Arial"/>
          <w:sz w:val="28"/>
          <w:szCs w:val="28"/>
        </w:rPr>
        <w:t>;</w:t>
      </w:r>
    </w:p>
    <w:p w14:paraId="0C0A16FE" w14:textId="7FCCFACF" w:rsidR="00EC5DCC" w:rsidRDefault="00EC5DCC" w:rsidP="00EC5DCC">
      <w:pPr>
        <w:pStyle w:val="ListParagraph"/>
        <w:numPr>
          <w:ilvl w:val="0"/>
          <w:numId w:val="26"/>
        </w:numPr>
        <w:spacing w:line="360" w:lineRule="auto"/>
        <w:jc w:val="both"/>
        <w:rPr>
          <w:rFonts w:ascii="Arial" w:hAnsi="Arial" w:cs="Arial"/>
          <w:sz w:val="28"/>
          <w:szCs w:val="28"/>
        </w:rPr>
      </w:pPr>
      <w:r>
        <w:rPr>
          <w:rFonts w:ascii="Arial" w:hAnsi="Arial" w:cs="Arial"/>
          <w:sz w:val="28"/>
          <w:szCs w:val="28"/>
        </w:rPr>
        <w:t xml:space="preserve"> </w:t>
      </w:r>
      <w:r w:rsidR="00E46657">
        <w:rPr>
          <w:rFonts w:ascii="Arial" w:hAnsi="Arial" w:cs="Arial"/>
          <w:sz w:val="28"/>
          <w:szCs w:val="28"/>
        </w:rPr>
        <w:t>Conduct</w:t>
      </w:r>
      <w:r>
        <w:rPr>
          <w:rFonts w:ascii="Arial" w:hAnsi="Arial" w:cs="Arial"/>
          <w:sz w:val="28"/>
          <w:szCs w:val="28"/>
        </w:rPr>
        <w:t xml:space="preserve"> of public hearings to receive such testimony as could be safely</w:t>
      </w:r>
      <w:r w:rsidR="008C53C1">
        <w:rPr>
          <w:rFonts w:ascii="Arial" w:hAnsi="Arial" w:cs="Arial"/>
          <w:sz w:val="28"/>
          <w:szCs w:val="28"/>
        </w:rPr>
        <w:t xml:space="preserve"> procured in public (with other evidence</w:t>
      </w:r>
      <w:r>
        <w:rPr>
          <w:rFonts w:ascii="Arial" w:hAnsi="Arial" w:cs="Arial"/>
          <w:sz w:val="28"/>
          <w:szCs w:val="28"/>
        </w:rPr>
        <w:t xml:space="preserve"> received in private);</w:t>
      </w:r>
    </w:p>
    <w:p w14:paraId="7A20D29B" w14:textId="3C6102F7" w:rsidR="00EC5DCC" w:rsidRDefault="00EC5DCC" w:rsidP="00EC5DCC">
      <w:pPr>
        <w:pStyle w:val="ListParagraph"/>
        <w:numPr>
          <w:ilvl w:val="0"/>
          <w:numId w:val="26"/>
        </w:numPr>
        <w:spacing w:line="360" w:lineRule="auto"/>
        <w:jc w:val="both"/>
        <w:rPr>
          <w:rFonts w:ascii="Arial" w:hAnsi="Arial" w:cs="Arial"/>
          <w:sz w:val="28"/>
          <w:szCs w:val="28"/>
        </w:rPr>
      </w:pPr>
      <w:r>
        <w:rPr>
          <w:rFonts w:ascii="Arial" w:hAnsi="Arial" w:cs="Arial"/>
          <w:sz w:val="28"/>
          <w:szCs w:val="28"/>
        </w:rPr>
        <w:t xml:space="preserve">  Film recording </w:t>
      </w:r>
      <w:r w:rsidR="008C53C1">
        <w:rPr>
          <w:rFonts w:ascii="Arial" w:hAnsi="Arial" w:cs="Arial"/>
          <w:sz w:val="28"/>
          <w:szCs w:val="28"/>
        </w:rPr>
        <w:t xml:space="preserve">of </w:t>
      </w:r>
      <w:r>
        <w:rPr>
          <w:rFonts w:ascii="Arial" w:hAnsi="Arial" w:cs="Arial"/>
          <w:sz w:val="28"/>
          <w:szCs w:val="28"/>
        </w:rPr>
        <w:t xml:space="preserve">such </w:t>
      </w:r>
      <w:r w:rsidR="00E46657">
        <w:rPr>
          <w:rFonts w:ascii="Arial" w:hAnsi="Arial" w:cs="Arial"/>
          <w:sz w:val="28"/>
          <w:szCs w:val="28"/>
        </w:rPr>
        <w:t xml:space="preserve">public </w:t>
      </w:r>
      <w:r>
        <w:rPr>
          <w:rFonts w:ascii="Arial" w:hAnsi="Arial" w:cs="Arial"/>
          <w:sz w:val="28"/>
          <w:szCs w:val="28"/>
        </w:rPr>
        <w:t>testimony and placing it online</w:t>
      </w:r>
      <w:r w:rsidR="000D4F40">
        <w:rPr>
          <w:rFonts w:ascii="Arial" w:hAnsi="Arial" w:cs="Arial"/>
          <w:sz w:val="28"/>
          <w:szCs w:val="28"/>
        </w:rPr>
        <w:t>,</w:t>
      </w:r>
      <w:r>
        <w:rPr>
          <w:rFonts w:ascii="Arial" w:hAnsi="Arial" w:cs="Arial"/>
          <w:sz w:val="28"/>
          <w:szCs w:val="28"/>
        </w:rPr>
        <w:t xml:space="preserve"> </w:t>
      </w:r>
      <w:r w:rsidR="00E46657">
        <w:rPr>
          <w:rFonts w:ascii="Arial" w:hAnsi="Arial" w:cs="Arial"/>
          <w:sz w:val="28"/>
          <w:szCs w:val="28"/>
        </w:rPr>
        <w:t>accompanied by</w:t>
      </w:r>
      <w:r>
        <w:rPr>
          <w:rFonts w:ascii="Arial" w:hAnsi="Arial" w:cs="Arial"/>
          <w:sz w:val="28"/>
          <w:szCs w:val="28"/>
        </w:rPr>
        <w:t xml:space="preserve"> written transcripts in relevant languages; </w:t>
      </w:r>
    </w:p>
    <w:p w14:paraId="130FAE1F" w14:textId="77777777" w:rsidR="00EC5DCC" w:rsidRDefault="00EC5DCC" w:rsidP="00EC5DCC">
      <w:pPr>
        <w:pStyle w:val="ListParagraph"/>
        <w:numPr>
          <w:ilvl w:val="0"/>
          <w:numId w:val="26"/>
        </w:numPr>
        <w:spacing w:line="360" w:lineRule="auto"/>
        <w:jc w:val="both"/>
        <w:rPr>
          <w:rFonts w:ascii="Arial" w:hAnsi="Arial" w:cs="Arial"/>
          <w:sz w:val="28"/>
          <w:szCs w:val="28"/>
        </w:rPr>
      </w:pPr>
      <w:r>
        <w:rPr>
          <w:rFonts w:ascii="Arial" w:hAnsi="Arial" w:cs="Arial"/>
          <w:sz w:val="28"/>
          <w:szCs w:val="28"/>
        </w:rPr>
        <w:t xml:space="preserve"> Inviting national and international media to attend and cover the testimony and draw it to global attention;</w:t>
      </w:r>
    </w:p>
    <w:p w14:paraId="6F4136C3" w14:textId="075F8D93" w:rsidR="00EC5DCC" w:rsidRDefault="00EC5DCC" w:rsidP="00EC5DCC">
      <w:pPr>
        <w:pStyle w:val="ListParagraph"/>
        <w:numPr>
          <w:ilvl w:val="0"/>
          <w:numId w:val="26"/>
        </w:numPr>
        <w:spacing w:line="360" w:lineRule="auto"/>
        <w:jc w:val="both"/>
        <w:rPr>
          <w:rFonts w:ascii="Arial" w:hAnsi="Arial" w:cs="Arial"/>
          <w:sz w:val="28"/>
          <w:szCs w:val="28"/>
        </w:rPr>
      </w:pPr>
      <w:r>
        <w:rPr>
          <w:rFonts w:ascii="Arial" w:hAnsi="Arial" w:cs="Arial"/>
          <w:sz w:val="28"/>
          <w:szCs w:val="28"/>
        </w:rPr>
        <w:t xml:space="preserve">  Producing a report written in simple, accessible language;</w:t>
      </w:r>
    </w:p>
    <w:p w14:paraId="33DEDA0A" w14:textId="19A34976" w:rsidR="00EC5DCC" w:rsidRDefault="00EC5DCC" w:rsidP="00EC5DCC">
      <w:pPr>
        <w:pStyle w:val="ListParagraph"/>
        <w:numPr>
          <w:ilvl w:val="0"/>
          <w:numId w:val="26"/>
        </w:numPr>
        <w:spacing w:line="360" w:lineRule="auto"/>
        <w:jc w:val="both"/>
        <w:rPr>
          <w:rFonts w:ascii="Arial" w:hAnsi="Arial" w:cs="Arial"/>
          <w:sz w:val="28"/>
          <w:szCs w:val="28"/>
        </w:rPr>
      </w:pPr>
      <w:r>
        <w:rPr>
          <w:rFonts w:ascii="Arial" w:hAnsi="Arial" w:cs="Arial"/>
          <w:sz w:val="28"/>
          <w:szCs w:val="28"/>
        </w:rPr>
        <w:t xml:space="preserve">  Indicating clearly</w:t>
      </w:r>
      <w:r w:rsidR="008C53C1">
        <w:rPr>
          <w:rFonts w:ascii="Arial" w:hAnsi="Arial" w:cs="Arial"/>
          <w:sz w:val="28"/>
          <w:szCs w:val="28"/>
        </w:rPr>
        <w:t xml:space="preserve"> in the report</w:t>
      </w:r>
      <w:r>
        <w:rPr>
          <w:rFonts w:ascii="Arial" w:hAnsi="Arial" w:cs="Arial"/>
          <w:sz w:val="28"/>
          <w:szCs w:val="28"/>
        </w:rPr>
        <w:t xml:space="preserve"> the findings made by the COI and the eviden</w:t>
      </w:r>
      <w:r w:rsidR="008C53C1">
        <w:rPr>
          <w:rFonts w:ascii="Arial" w:hAnsi="Arial" w:cs="Arial"/>
          <w:sz w:val="28"/>
          <w:szCs w:val="28"/>
        </w:rPr>
        <w:t>ce upon which such findings was</w:t>
      </w:r>
      <w:r>
        <w:rPr>
          <w:rFonts w:ascii="Arial" w:hAnsi="Arial" w:cs="Arial"/>
          <w:sz w:val="28"/>
          <w:szCs w:val="28"/>
        </w:rPr>
        <w:t xml:space="preserve"> based;</w:t>
      </w:r>
    </w:p>
    <w:p w14:paraId="77C6EF01" w14:textId="4C62895B" w:rsidR="00EC5DCC" w:rsidRDefault="00EC5DCC" w:rsidP="00EC5DCC">
      <w:pPr>
        <w:pStyle w:val="ListParagraph"/>
        <w:numPr>
          <w:ilvl w:val="0"/>
          <w:numId w:val="26"/>
        </w:numPr>
        <w:spacing w:line="360" w:lineRule="auto"/>
        <w:jc w:val="both"/>
        <w:rPr>
          <w:rFonts w:ascii="Arial" w:hAnsi="Arial" w:cs="Arial"/>
          <w:sz w:val="28"/>
          <w:szCs w:val="28"/>
        </w:rPr>
      </w:pPr>
      <w:r>
        <w:rPr>
          <w:rFonts w:ascii="Arial" w:hAnsi="Arial" w:cs="Arial"/>
          <w:sz w:val="28"/>
          <w:szCs w:val="28"/>
        </w:rPr>
        <w:lastRenderedPageBreak/>
        <w:t xml:space="preserve">  Providing</w:t>
      </w:r>
      <w:r w:rsidR="008C53C1">
        <w:rPr>
          <w:rFonts w:ascii="Arial" w:hAnsi="Arial" w:cs="Arial"/>
          <w:sz w:val="28"/>
          <w:szCs w:val="28"/>
        </w:rPr>
        <w:t xml:space="preserve"> a</w:t>
      </w:r>
      <w:r>
        <w:rPr>
          <w:rFonts w:ascii="Arial" w:hAnsi="Arial" w:cs="Arial"/>
          <w:sz w:val="28"/>
          <w:szCs w:val="28"/>
        </w:rPr>
        <w:t xml:space="preserve"> draft of the report to the nations</w:t>
      </w:r>
      <w:r w:rsidR="008C53C1">
        <w:rPr>
          <w:rFonts w:ascii="Arial" w:hAnsi="Arial" w:cs="Arial"/>
          <w:sz w:val="28"/>
          <w:szCs w:val="28"/>
        </w:rPr>
        <w:t xml:space="preserve"> </w:t>
      </w:r>
      <w:r w:rsidR="000D4F40">
        <w:rPr>
          <w:rFonts w:ascii="Arial" w:hAnsi="Arial" w:cs="Arial"/>
          <w:sz w:val="28"/>
          <w:szCs w:val="28"/>
        </w:rPr>
        <w:t xml:space="preserve">and individuals </w:t>
      </w:r>
      <w:r w:rsidR="008C53C1">
        <w:rPr>
          <w:rFonts w:ascii="Arial" w:hAnsi="Arial" w:cs="Arial"/>
          <w:sz w:val="28"/>
          <w:szCs w:val="28"/>
        </w:rPr>
        <w:t>most</w:t>
      </w:r>
      <w:r w:rsidR="000D4F40">
        <w:rPr>
          <w:rFonts w:ascii="Arial" w:hAnsi="Arial" w:cs="Arial"/>
          <w:sz w:val="28"/>
          <w:szCs w:val="28"/>
        </w:rPr>
        <w:t xml:space="preserve"> closely</w:t>
      </w:r>
      <w:r>
        <w:rPr>
          <w:rFonts w:ascii="Arial" w:hAnsi="Arial" w:cs="Arial"/>
          <w:sz w:val="28"/>
          <w:szCs w:val="28"/>
        </w:rPr>
        <w:t xml:space="preserve"> concerned</w:t>
      </w:r>
      <w:r w:rsidR="00E46657">
        <w:rPr>
          <w:rFonts w:ascii="Arial" w:hAnsi="Arial" w:cs="Arial"/>
          <w:sz w:val="28"/>
          <w:szCs w:val="28"/>
        </w:rPr>
        <w:t>,</w:t>
      </w:r>
      <w:r>
        <w:rPr>
          <w:rFonts w:ascii="Arial" w:hAnsi="Arial" w:cs="Arial"/>
          <w:sz w:val="28"/>
          <w:szCs w:val="28"/>
        </w:rPr>
        <w:t xml:space="preserve"> with</w:t>
      </w:r>
      <w:r w:rsidR="00E46657">
        <w:rPr>
          <w:rFonts w:ascii="Arial" w:hAnsi="Arial" w:cs="Arial"/>
          <w:sz w:val="28"/>
          <w:szCs w:val="28"/>
        </w:rPr>
        <w:t xml:space="preserve"> an</w:t>
      </w:r>
      <w:r>
        <w:rPr>
          <w:rFonts w:ascii="Arial" w:hAnsi="Arial" w:cs="Arial"/>
          <w:sz w:val="28"/>
          <w:szCs w:val="28"/>
        </w:rPr>
        <w:t xml:space="preserve"> invitation to </w:t>
      </w:r>
      <w:r w:rsidR="000D4F40">
        <w:rPr>
          <w:rFonts w:ascii="Arial" w:hAnsi="Arial" w:cs="Arial"/>
          <w:sz w:val="28"/>
          <w:szCs w:val="28"/>
        </w:rPr>
        <w:t>offer suggested corrections or</w:t>
      </w:r>
      <w:r>
        <w:rPr>
          <w:rFonts w:ascii="Arial" w:hAnsi="Arial" w:cs="Arial"/>
          <w:sz w:val="28"/>
          <w:szCs w:val="28"/>
        </w:rPr>
        <w:t xml:space="preserve"> comment on factual or legal conclusions;</w:t>
      </w:r>
    </w:p>
    <w:p w14:paraId="39F0AB4C" w14:textId="757F76B5" w:rsidR="00EC5DCC" w:rsidRDefault="00EC5DCC" w:rsidP="00EC5DCC">
      <w:pPr>
        <w:pStyle w:val="ListParagraph"/>
        <w:numPr>
          <w:ilvl w:val="0"/>
          <w:numId w:val="26"/>
        </w:numPr>
        <w:spacing w:line="360" w:lineRule="auto"/>
        <w:jc w:val="both"/>
        <w:rPr>
          <w:rFonts w:ascii="Arial" w:hAnsi="Arial" w:cs="Arial"/>
          <w:sz w:val="28"/>
          <w:szCs w:val="28"/>
        </w:rPr>
      </w:pPr>
      <w:r>
        <w:rPr>
          <w:rFonts w:ascii="Arial" w:hAnsi="Arial" w:cs="Arial"/>
          <w:sz w:val="28"/>
          <w:szCs w:val="28"/>
        </w:rPr>
        <w:t xml:space="preserve">  Publishing with the report any such comments (comments were received</w:t>
      </w:r>
      <w:r w:rsidR="00E46657">
        <w:rPr>
          <w:rFonts w:ascii="Arial" w:hAnsi="Arial" w:cs="Arial"/>
          <w:sz w:val="28"/>
          <w:szCs w:val="28"/>
        </w:rPr>
        <w:t xml:space="preserve"> and published</w:t>
      </w:r>
      <w:r>
        <w:rPr>
          <w:rFonts w:ascii="Arial" w:hAnsi="Arial" w:cs="Arial"/>
          <w:sz w:val="28"/>
          <w:szCs w:val="28"/>
        </w:rPr>
        <w:t xml:space="preserve"> from China);</w:t>
      </w:r>
      <w:r w:rsidR="00E46657">
        <w:rPr>
          <w:rFonts w:ascii="Arial" w:hAnsi="Arial" w:cs="Arial"/>
          <w:sz w:val="28"/>
          <w:szCs w:val="28"/>
        </w:rPr>
        <w:t xml:space="preserve"> and</w:t>
      </w:r>
    </w:p>
    <w:p w14:paraId="77BCC38F" w14:textId="6D704320" w:rsidR="00EC5DCC" w:rsidRDefault="00EC5DCC" w:rsidP="00EC5DCC">
      <w:pPr>
        <w:pStyle w:val="ListParagraph"/>
        <w:numPr>
          <w:ilvl w:val="0"/>
          <w:numId w:val="26"/>
        </w:numPr>
        <w:spacing w:line="360" w:lineRule="auto"/>
        <w:jc w:val="both"/>
        <w:rPr>
          <w:rFonts w:ascii="Arial" w:hAnsi="Arial" w:cs="Arial"/>
          <w:sz w:val="28"/>
          <w:szCs w:val="28"/>
        </w:rPr>
      </w:pPr>
      <w:r>
        <w:rPr>
          <w:rFonts w:ascii="Arial" w:hAnsi="Arial" w:cs="Arial"/>
          <w:sz w:val="28"/>
          <w:szCs w:val="28"/>
        </w:rPr>
        <w:t xml:space="preserve">  Engaging with media in all forms to promote knowledge of - and </w:t>
      </w:r>
      <w:r w:rsidR="00E46657">
        <w:rPr>
          <w:rFonts w:ascii="Arial" w:hAnsi="Arial" w:cs="Arial"/>
          <w:sz w:val="28"/>
          <w:szCs w:val="28"/>
        </w:rPr>
        <w:t xml:space="preserve">to </w:t>
      </w:r>
      <w:r w:rsidR="000D4F40">
        <w:rPr>
          <w:rFonts w:ascii="Arial" w:hAnsi="Arial" w:cs="Arial"/>
          <w:sz w:val="28"/>
          <w:szCs w:val="28"/>
        </w:rPr>
        <w:t>secure support for the</w:t>
      </w:r>
      <w:r>
        <w:rPr>
          <w:rFonts w:ascii="Arial" w:hAnsi="Arial" w:cs="Arial"/>
          <w:sz w:val="28"/>
          <w:szCs w:val="28"/>
        </w:rPr>
        <w:t xml:space="preserve"> conclusions and recommendations.</w:t>
      </w:r>
    </w:p>
    <w:p w14:paraId="15A30225" w14:textId="77777777" w:rsidR="00EC5DCC" w:rsidRDefault="00EC5DCC" w:rsidP="00EC5DCC">
      <w:pPr>
        <w:spacing w:line="360" w:lineRule="auto"/>
        <w:jc w:val="both"/>
        <w:rPr>
          <w:rFonts w:ascii="Arial" w:hAnsi="Arial" w:cs="Arial"/>
          <w:sz w:val="28"/>
          <w:szCs w:val="28"/>
        </w:rPr>
      </w:pPr>
    </w:p>
    <w:p w14:paraId="019ECED3" w14:textId="574C21BB" w:rsidR="00A9596B" w:rsidRDefault="00EC5DCC" w:rsidP="00EC5DCC">
      <w:pPr>
        <w:spacing w:line="360" w:lineRule="auto"/>
        <w:jc w:val="both"/>
        <w:rPr>
          <w:rFonts w:ascii="Arial" w:hAnsi="Arial" w:cs="Arial"/>
          <w:sz w:val="28"/>
          <w:szCs w:val="28"/>
        </w:rPr>
      </w:pPr>
      <w:r>
        <w:rPr>
          <w:rFonts w:ascii="Arial" w:hAnsi="Arial" w:cs="Arial"/>
          <w:sz w:val="28"/>
          <w:szCs w:val="28"/>
        </w:rPr>
        <w:t>The COI</w:t>
      </w:r>
      <w:r w:rsidR="000D4F40">
        <w:rPr>
          <w:rFonts w:ascii="Arial" w:hAnsi="Arial" w:cs="Arial"/>
          <w:sz w:val="28"/>
          <w:szCs w:val="28"/>
        </w:rPr>
        <w:t xml:space="preserve"> on DPRK</w:t>
      </w:r>
      <w:r>
        <w:rPr>
          <w:rFonts w:ascii="Arial" w:hAnsi="Arial" w:cs="Arial"/>
          <w:sz w:val="28"/>
          <w:szCs w:val="28"/>
        </w:rPr>
        <w:t xml:space="preserve"> was aware that false testimony</w:t>
      </w:r>
      <w:r w:rsidR="00E46657">
        <w:rPr>
          <w:rFonts w:ascii="Arial" w:hAnsi="Arial" w:cs="Arial"/>
          <w:sz w:val="28"/>
          <w:szCs w:val="28"/>
        </w:rPr>
        <w:t xml:space="preserve"> by witnesses</w:t>
      </w:r>
      <w:r>
        <w:rPr>
          <w:rFonts w:ascii="Arial" w:hAnsi="Arial" w:cs="Arial"/>
          <w:sz w:val="28"/>
          <w:szCs w:val="28"/>
        </w:rPr>
        <w:t xml:space="preserve"> could</w:t>
      </w:r>
      <w:r w:rsidR="00E46657">
        <w:rPr>
          <w:rFonts w:ascii="Arial" w:hAnsi="Arial" w:cs="Arial"/>
          <w:sz w:val="28"/>
          <w:szCs w:val="28"/>
        </w:rPr>
        <w:t xml:space="preserve"> potentially</w:t>
      </w:r>
      <w:r>
        <w:rPr>
          <w:rFonts w:ascii="Arial" w:hAnsi="Arial" w:cs="Arial"/>
          <w:sz w:val="28"/>
          <w:szCs w:val="28"/>
        </w:rPr>
        <w:t xml:space="preserve"> damage the credibility of its findings.  Therefore</w:t>
      </w:r>
      <w:r w:rsidR="008C53C1">
        <w:rPr>
          <w:rFonts w:ascii="Arial" w:hAnsi="Arial" w:cs="Arial"/>
          <w:sz w:val="28"/>
          <w:szCs w:val="28"/>
        </w:rPr>
        <w:t>,</w:t>
      </w:r>
      <w:r>
        <w:rPr>
          <w:rFonts w:ascii="Arial" w:hAnsi="Arial" w:cs="Arial"/>
          <w:sz w:val="28"/>
          <w:szCs w:val="28"/>
        </w:rPr>
        <w:t xml:space="preserve"> it took care to limit</w:t>
      </w:r>
      <w:r w:rsidR="00E46657">
        <w:rPr>
          <w:rFonts w:ascii="Arial" w:hAnsi="Arial" w:cs="Arial"/>
          <w:sz w:val="28"/>
          <w:szCs w:val="28"/>
        </w:rPr>
        <w:t xml:space="preserve"> the</w:t>
      </w:r>
      <w:r w:rsidR="00A9596B">
        <w:rPr>
          <w:rFonts w:ascii="Arial" w:hAnsi="Arial" w:cs="Arial"/>
          <w:sz w:val="28"/>
          <w:szCs w:val="28"/>
        </w:rPr>
        <w:t xml:space="preserve"> witnesses to </w:t>
      </w:r>
      <w:r w:rsidR="000D4F40">
        <w:rPr>
          <w:rFonts w:ascii="Arial" w:hAnsi="Arial" w:cs="Arial"/>
          <w:sz w:val="28"/>
          <w:szCs w:val="28"/>
        </w:rPr>
        <w:t>those</w:t>
      </w:r>
      <w:r w:rsidR="008C53C1">
        <w:rPr>
          <w:rFonts w:ascii="Arial" w:hAnsi="Arial" w:cs="Arial"/>
          <w:sz w:val="28"/>
          <w:szCs w:val="28"/>
        </w:rPr>
        <w:t xml:space="preserve"> who</w:t>
      </w:r>
      <w:r w:rsidR="000D4F40">
        <w:rPr>
          <w:rFonts w:ascii="Arial" w:hAnsi="Arial" w:cs="Arial"/>
          <w:sz w:val="28"/>
          <w:szCs w:val="28"/>
        </w:rPr>
        <w:t>,</w:t>
      </w:r>
      <w:r w:rsidR="008C53C1">
        <w:rPr>
          <w:rFonts w:ascii="Arial" w:hAnsi="Arial" w:cs="Arial"/>
          <w:sz w:val="28"/>
          <w:szCs w:val="28"/>
        </w:rPr>
        <w:t xml:space="preserve"> on interview</w:t>
      </w:r>
      <w:r w:rsidR="00E46657">
        <w:rPr>
          <w:rFonts w:ascii="Arial" w:hAnsi="Arial" w:cs="Arial"/>
          <w:sz w:val="28"/>
          <w:szCs w:val="28"/>
        </w:rPr>
        <w:t xml:space="preserve"> by the COI’s secretariat,</w:t>
      </w:r>
      <w:r w:rsidR="00A9596B">
        <w:rPr>
          <w:rFonts w:ascii="Arial" w:hAnsi="Arial" w:cs="Arial"/>
          <w:sz w:val="28"/>
          <w:szCs w:val="28"/>
        </w:rPr>
        <w:t xml:space="preserve"> appeared to be honest and trustworthy.  </w:t>
      </w:r>
      <w:r w:rsidR="00E46657">
        <w:rPr>
          <w:rFonts w:ascii="Arial" w:hAnsi="Arial" w:cs="Arial"/>
          <w:sz w:val="28"/>
          <w:szCs w:val="28"/>
        </w:rPr>
        <w:t>It also s</w:t>
      </w:r>
      <w:r w:rsidR="00A9596B">
        <w:rPr>
          <w:rFonts w:ascii="Arial" w:hAnsi="Arial" w:cs="Arial"/>
          <w:sz w:val="28"/>
          <w:szCs w:val="28"/>
        </w:rPr>
        <w:t>ecured agreement with the government of the Republic of Korea (ROK)</w:t>
      </w:r>
      <w:r w:rsidR="00E46657">
        <w:rPr>
          <w:rFonts w:ascii="Arial" w:hAnsi="Arial" w:cs="Arial"/>
          <w:sz w:val="28"/>
          <w:szCs w:val="28"/>
        </w:rPr>
        <w:t xml:space="preserve"> (South Korea)</w:t>
      </w:r>
      <w:r w:rsidR="00A9596B">
        <w:rPr>
          <w:rFonts w:ascii="Arial" w:hAnsi="Arial" w:cs="Arial"/>
          <w:sz w:val="28"/>
          <w:szCs w:val="28"/>
        </w:rPr>
        <w:t>, exceptionally, to permit DPRK to send representatives, advocates, or to engage lawyers</w:t>
      </w:r>
      <w:r w:rsidR="000D4F40">
        <w:rPr>
          <w:rFonts w:ascii="Arial" w:hAnsi="Arial" w:cs="Arial"/>
          <w:sz w:val="28"/>
          <w:szCs w:val="28"/>
        </w:rPr>
        <w:t>,</w:t>
      </w:r>
      <w:r w:rsidR="00A9596B">
        <w:rPr>
          <w:rFonts w:ascii="Arial" w:hAnsi="Arial" w:cs="Arial"/>
          <w:sz w:val="28"/>
          <w:szCs w:val="28"/>
        </w:rPr>
        <w:t xml:space="preserve"> who could</w:t>
      </w:r>
      <w:r w:rsidR="00E46657">
        <w:rPr>
          <w:rFonts w:ascii="Arial" w:hAnsi="Arial" w:cs="Arial"/>
          <w:sz w:val="28"/>
          <w:szCs w:val="28"/>
        </w:rPr>
        <w:t xml:space="preserve"> make submissions and</w:t>
      </w:r>
      <w:r w:rsidR="00A9596B">
        <w:rPr>
          <w:rFonts w:ascii="Arial" w:hAnsi="Arial" w:cs="Arial"/>
          <w:sz w:val="28"/>
          <w:szCs w:val="28"/>
        </w:rPr>
        <w:t xml:space="preserve">, with permission of the COI, ask questions of witnesses.  This offer </w:t>
      </w:r>
      <w:r w:rsidR="00E46657">
        <w:rPr>
          <w:rFonts w:ascii="Arial" w:hAnsi="Arial" w:cs="Arial"/>
          <w:sz w:val="28"/>
          <w:szCs w:val="28"/>
        </w:rPr>
        <w:t xml:space="preserve">was </w:t>
      </w:r>
      <w:r w:rsidR="00A9596B">
        <w:rPr>
          <w:rFonts w:ascii="Arial" w:hAnsi="Arial" w:cs="Arial"/>
          <w:sz w:val="28"/>
          <w:szCs w:val="28"/>
        </w:rPr>
        <w:t xml:space="preserve">communicated to DPRK but </w:t>
      </w:r>
      <w:r w:rsidR="00E46657">
        <w:rPr>
          <w:rFonts w:ascii="Arial" w:hAnsi="Arial" w:cs="Arial"/>
          <w:sz w:val="28"/>
          <w:szCs w:val="28"/>
        </w:rPr>
        <w:t>ignored.  I</w:t>
      </w:r>
      <w:r w:rsidR="00A9596B">
        <w:rPr>
          <w:rFonts w:ascii="Arial" w:hAnsi="Arial" w:cs="Arial"/>
          <w:sz w:val="28"/>
          <w:szCs w:val="28"/>
        </w:rPr>
        <w:t>n giving testimony, the witnesses</w:t>
      </w:r>
      <w:r w:rsidR="000D4F40">
        <w:rPr>
          <w:rFonts w:ascii="Arial" w:hAnsi="Arial" w:cs="Arial"/>
          <w:sz w:val="28"/>
          <w:szCs w:val="28"/>
        </w:rPr>
        <w:t xml:space="preserve"> before the COI</w:t>
      </w:r>
      <w:r w:rsidR="00A9596B">
        <w:rPr>
          <w:rFonts w:ascii="Arial" w:hAnsi="Arial" w:cs="Arial"/>
          <w:sz w:val="28"/>
          <w:szCs w:val="28"/>
        </w:rPr>
        <w:t xml:space="preserve"> were examined in the manner of “examination in chief”</w:t>
      </w:r>
      <w:r w:rsidR="00E46657">
        <w:rPr>
          <w:rFonts w:ascii="Arial" w:hAnsi="Arial" w:cs="Arial"/>
          <w:sz w:val="28"/>
          <w:szCs w:val="28"/>
        </w:rPr>
        <w:t xml:space="preserve"> i.e. by non-leading questions</w:t>
      </w:r>
      <w:r w:rsidR="00A9596B">
        <w:rPr>
          <w:rFonts w:ascii="Arial" w:hAnsi="Arial" w:cs="Arial"/>
          <w:sz w:val="28"/>
          <w:szCs w:val="28"/>
        </w:rPr>
        <w:t>.  This</w:t>
      </w:r>
      <w:r w:rsidR="00E46657">
        <w:rPr>
          <w:rFonts w:ascii="Arial" w:hAnsi="Arial" w:cs="Arial"/>
          <w:sz w:val="28"/>
          <w:szCs w:val="28"/>
        </w:rPr>
        <w:t xml:space="preserve"> course</w:t>
      </w:r>
      <w:r w:rsidR="00A9596B">
        <w:rPr>
          <w:rFonts w:ascii="Arial" w:hAnsi="Arial" w:cs="Arial"/>
          <w:sz w:val="28"/>
          <w:szCs w:val="28"/>
        </w:rPr>
        <w:t xml:space="preserve"> permitted them to give their testimony, in a generally chronological way, in their own language</w:t>
      </w:r>
      <w:r w:rsidR="00E46657">
        <w:rPr>
          <w:rFonts w:ascii="Arial" w:hAnsi="Arial" w:cs="Arial"/>
          <w:sz w:val="28"/>
          <w:szCs w:val="28"/>
        </w:rPr>
        <w:t>,</w:t>
      </w:r>
      <w:r w:rsidR="00A9596B">
        <w:rPr>
          <w:rFonts w:ascii="Arial" w:hAnsi="Arial" w:cs="Arial"/>
          <w:sz w:val="28"/>
          <w:szCs w:val="28"/>
        </w:rPr>
        <w:t xml:space="preserve"> and in a fashion that was comfortable to them</w:t>
      </w:r>
      <w:r w:rsidR="008C53C1">
        <w:rPr>
          <w:rFonts w:ascii="Arial" w:hAnsi="Arial" w:cs="Arial"/>
          <w:sz w:val="28"/>
          <w:szCs w:val="28"/>
        </w:rPr>
        <w:t xml:space="preserve">.  </w:t>
      </w:r>
      <w:r w:rsidR="00A9596B">
        <w:rPr>
          <w:rFonts w:ascii="Arial" w:hAnsi="Arial" w:cs="Arial"/>
          <w:sz w:val="28"/>
          <w:szCs w:val="28"/>
        </w:rPr>
        <w:t>The COI did not cross examine witnesses unless</w:t>
      </w:r>
      <w:r w:rsidR="00E46657">
        <w:rPr>
          <w:rFonts w:ascii="Arial" w:hAnsi="Arial" w:cs="Arial"/>
          <w:sz w:val="28"/>
          <w:szCs w:val="28"/>
        </w:rPr>
        <w:t xml:space="preserve"> it</w:t>
      </w:r>
      <w:r w:rsidR="00A9596B">
        <w:rPr>
          <w:rFonts w:ascii="Arial" w:hAnsi="Arial" w:cs="Arial"/>
          <w:sz w:val="28"/>
          <w:szCs w:val="28"/>
        </w:rPr>
        <w:t xml:space="preserve"> consider</w:t>
      </w:r>
      <w:r w:rsidR="00E46657">
        <w:rPr>
          <w:rFonts w:ascii="Arial" w:hAnsi="Arial" w:cs="Arial"/>
          <w:sz w:val="28"/>
          <w:szCs w:val="28"/>
        </w:rPr>
        <w:t>ed</w:t>
      </w:r>
      <w:r w:rsidR="00A9596B">
        <w:rPr>
          <w:rFonts w:ascii="Arial" w:hAnsi="Arial" w:cs="Arial"/>
          <w:sz w:val="28"/>
          <w:szCs w:val="28"/>
        </w:rPr>
        <w:t xml:space="preserve"> this essential to clarify apparent inconsistencies or to address doubts</w:t>
      </w:r>
      <w:r w:rsidR="00E46657">
        <w:rPr>
          <w:rFonts w:ascii="Arial" w:hAnsi="Arial" w:cs="Arial"/>
          <w:sz w:val="28"/>
          <w:szCs w:val="28"/>
        </w:rPr>
        <w:t xml:space="preserve"> </w:t>
      </w:r>
      <w:r w:rsidR="000D4F40">
        <w:rPr>
          <w:rFonts w:ascii="Arial" w:hAnsi="Arial" w:cs="Arial"/>
          <w:sz w:val="28"/>
          <w:szCs w:val="28"/>
        </w:rPr>
        <w:t xml:space="preserve">about the witness </w:t>
      </w:r>
      <w:r w:rsidR="00E46657">
        <w:rPr>
          <w:rFonts w:ascii="Arial" w:hAnsi="Arial" w:cs="Arial"/>
          <w:sz w:val="28"/>
          <w:szCs w:val="28"/>
        </w:rPr>
        <w:t>raised in the minds of COI members</w:t>
      </w:r>
      <w:r w:rsidR="00A9596B">
        <w:rPr>
          <w:rFonts w:ascii="Arial" w:hAnsi="Arial" w:cs="Arial"/>
          <w:sz w:val="28"/>
          <w:szCs w:val="28"/>
        </w:rPr>
        <w:t xml:space="preserve"> by the evidence.  The “non-leading” mode of examination allowed witnesses to speak for themselves.  </w:t>
      </w:r>
    </w:p>
    <w:p w14:paraId="45B5794C" w14:textId="77777777" w:rsidR="00A9596B" w:rsidRDefault="00A9596B" w:rsidP="00EC5DCC">
      <w:pPr>
        <w:spacing w:line="360" w:lineRule="auto"/>
        <w:jc w:val="both"/>
        <w:rPr>
          <w:rFonts w:ascii="Arial" w:hAnsi="Arial" w:cs="Arial"/>
          <w:sz w:val="28"/>
          <w:szCs w:val="28"/>
        </w:rPr>
      </w:pPr>
    </w:p>
    <w:p w14:paraId="67BA884E" w14:textId="67F5ACF6" w:rsidR="00A9596B" w:rsidRDefault="00A9596B" w:rsidP="00EC5DCC">
      <w:pPr>
        <w:spacing w:line="360" w:lineRule="auto"/>
        <w:jc w:val="both"/>
        <w:rPr>
          <w:rFonts w:ascii="Arial" w:hAnsi="Arial" w:cs="Arial"/>
          <w:sz w:val="28"/>
          <w:szCs w:val="28"/>
        </w:rPr>
      </w:pPr>
      <w:r>
        <w:rPr>
          <w:rFonts w:ascii="Arial" w:hAnsi="Arial" w:cs="Arial"/>
          <w:sz w:val="28"/>
          <w:szCs w:val="28"/>
        </w:rPr>
        <w:t xml:space="preserve">The mass of testimony procured by the COI was </w:t>
      </w:r>
      <w:r w:rsidR="00E46657">
        <w:rPr>
          <w:rFonts w:ascii="Arial" w:hAnsi="Arial" w:cs="Arial"/>
          <w:sz w:val="28"/>
          <w:szCs w:val="28"/>
        </w:rPr>
        <w:t>substantially</w:t>
      </w:r>
      <w:r>
        <w:rPr>
          <w:rFonts w:ascii="Arial" w:hAnsi="Arial" w:cs="Arial"/>
          <w:sz w:val="28"/>
          <w:szCs w:val="28"/>
        </w:rPr>
        <w:t xml:space="preserve"> organised under the headings of the nine point mandate</w:t>
      </w:r>
      <w:r w:rsidR="00E46657">
        <w:rPr>
          <w:rFonts w:ascii="Arial" w:hAnsi="Arial" w:cs="Arial"/>
          <w:sz w:val="28"/>
          <w:szCs w:val="28"/>
        </w:rPr>
        <w:t xml:space="preserve"> received by the COI from </w:t>
      </w:r>
      <w:r w:rsidR="00E46657">
        <w:rPr>
          <w:rFonts w:ascii="Arial" w:hAnsi="Arial" w:cs="Arial"/>
          <w:sz w:val="28"/>
          <w:szCs w:val="28"/>
        </w:rPr>
        <w:lastRenderedPageBreak/>
        <w:t>the HRC</w:t>
      </w:r>
      <w:r>
        <w:rPr>
          <w:rFonts w:ascii="Arial" w:hAnsi="Arial" w:cs="Arial"/>
          <w:sz w:val="28"/>
          <w:szCs w:val="28"/>
        </w:rPr>
        <w:t xml:space="preserve">.  In each case, analysis of the issues and </w:t>
      </w:r>
      <w:r w:rsidR="008C53C1">
        <w:rPr>
          <w:rFonts w:ascii="Arial" w:hAnsi="Arial" w:cs="Arial"/>
          <w:sz w:val="28"/>
          <w:szCs w:val="28"/>
        </w:rPr>
        <w:t xml:space="preserve">the </w:t>
      </w:r>
      <w:r>
        <w:rPr>
          <w:rFonts w:ascii="Arial" w:hAnsi="Arial" w:cs="Arial"/>
          <w:sz w:val="28"/>
          <w:szCs w:val="28"/>
        </w:rPr>
        <w:t xml:space="preserve">overall effect of the testimony was supplemented by short extracts from the transcripts.  These passages add light and </w:t>
      </w:r>
      <w:r w:rsidR="008C53C1">
        <w:rPr>
          <w:rFonts w:ascii="Arial" w:hAnsi="Arial" w:cs="Arial"/>
          <w:sz w:val="28"/>
          <w:szCs w:val="28"/>
        </w:rPr>
        <w:t>col</w:t>
      </w:r>
      <w:r>
        <w:rPr>
          <w:rFonts w:ascii="Arial" w:hAnsi="Arial" w:cs="Arial"/>
          <w:sz w:val="28"/>
          <w:szCs w:val="28"/>
        </w:rPr>
        <w:t xml:space="preserve">our to the report which </w:t>
      </w:r>
      <w:r w:rsidR="008C53C1">
        <w:rPr>
          <w:rFonts w:ascii="Arial" w:hAnsi="Arial" w:cs="Arial"/>
          <w:sz w:val="28"/>
          <w:szCs w:val="28"/>
        </w:rPr>
        <w:t>third</w:t>
      </w:r>
      <w:r>
        <w:rPr>
          <w:rFonts w:ascii="Arial" w:hAnsi="Arial" w:cs="Arial"/>
          <w:sz w:val="28"/>
          <w:szCs w:val="28"/>
        </w:rPr>
        <w:t xml:space="preserve"> person chronicles will</w:t>
      </w:r>
      <w:r w:rsidR="00E46657">
        <w:rPr>
          <w:rFonts w:ascii="Arial" w:hAnsi="Arial" w:cs="Arial"/>
          <w:sz w:val="28"/>
          <w:szCs w:val="28"/>
        </w:rPr>
        <w:t xml:space="preserve"> commonly</w:t>
      </w:r>
      <w:r>
        <w:rPr>
          <w:rFonts w:ascii="Arial" w:hAnsi="Arial" w:cs="Arial"/>
          <w:sz w:val="28"/>
          <w:szCs w:val="28"/>
        </w:rPr>
        <w:t xml:space="preserve"> lack.  Part of the power of the report of the COI on DPRK derives from the care devoted by the members and </w:t>
      </w:r>
      <w:r w:rsidR="00E46657">
        <w:rPr>
          <w:rFonts w:ascii="Arial" w:hAnsi="Arial" w:cs="Arial"/>
          <w:sz w:val="28"/>
          <w:szCs w:val="28"/>
        </w:rPr>
        <w:t xml:space="preserve">the </w:t>
      </w:r>
      <w:r>
        <w:rPr>
          <w:rFonts w:ascii="Arial" w:hAnsi="Arial" w:cs="Arial"/>
          <w:sz w:val="28"/>
          <w:szCs w:val="28"/>
        </w:rPr>
        <w:t>secretariat to provi</w:t>
      </w:r>
      <w:r w:rsidR="000D4F40">
        <w:rPr>
          <w:rFonts w:ascii="Arial" w:hAnsi="Arial" w:cs="Arial"/>
          <w:sz w:val="28"/>
          <w:szCs w:val="28"/>
        </w:rPr>
        <w:t>de</w:t>
      </w:r>
      <w:r>
        <w:rPr>
          <w:rFonts w:ascii="Arial" w:hAnsi="Arial" w:cs="Arial"/>
          <w:sz w:val="28"/>
          <w:szCs w:val="28"/>
        </w:rPr>
        <w:t xml:space="preserve"> of a readable text.  The object was to ensure that </w:t>
      </w:r>
      <w:r w:rsidR="00E46657">
        <w:rPr>
          <w:rFonts w:ascii="Arial" w:hAnsi="Arial" w:cs="Arial"/>
          <w:sz w:val="28"/>
          <w:szCs w:val="28"/>
        </w:rPr>
        <w:t xml:space="preserve">the </w:t>
      </w:r>
      <w:r>
        <w:rPr>
          <w:rFonts w:ascii="Arial" w:hAnsi="Arial" w:cs="Arial"/>
          <w:sz w:val="28"/>
          <w:szCs w:val="28"/>
        </w:rPr>
        <w:t>conclusions and recommendations grew naturally out of the preceding passages of testimony</w:t>
      </w:r>
      <w:r w:rsidR="00E46657">
        <w:rPr>
          <w:rFonts w:ascii="Arial" w:hAnsi="Arial" w:cs="Arial"/>
          <w:sz w:val="28"/>
          <w:szCs w:val="28"/>
        </w:rPr>
        <w:t>, evidentiary</w:t>
      </w:r>
      <w:r>
        <w:rPr>
          <w:rFonts w:ascii="Arial" w:hAnsi="Arial" w:cs="Arial"/>
          <w:sz w:val="28"/>
          <w:szCs w:val="28"/>
        </w:rPr>
        <w:t xml:space="preserve"> extracts, recommendations and analysis.</w:t>
      </w:r>
    </w:p>
    <w:p w14:paraId="38E6080B" w14:textId="77777777" w:rsidR="00A9596B" w:rsidRDefault="00A9596B" w:rsidP="00EC5DCC">
      <w:pPr>
        <w:spacing w:line="360" w:lineRule="auto"/>
        <w:jc w:val="both"/>
        <w:rPr>
          <w:rFonts w:ascii="Arial" w:hAnsi="Arial" w:cs="Arial"/>
          <w:sz w:val="28"/>
          <w:szCs w:val="28"/>
        </w:rPr>
      </w:pPr>
    </w:p>
    <w:p w14:paraId="04448DAA" w14:textId="5025E7EB" w:rsidR="00D06EFB" w:rsidRDefault="00A9596B" w:rsidP="00EC5DCC">
      <w:pPr>
        <w:spacing w:line="360" w:lineRule="auto"/>
        <w:jc w:val="both"/>
        <w:rPr>
          <w:rFonts w:ascii="Arial" w:hAnsi="Arial" w:cs="Arial"/>
          <w:sz w:val="28"/>
          <w:szCs w:val="28"/>
        </w:rPr>
      </w:pPr>
      <w:r>
        <w:rPr>
          <w:rFonts w:ascii="Arial" w:hAnsi="Arial" w:cs="Arial"/>
          <w:sz w:val="28"/>
          <w:szCs w:val="28"/>
        </w:rPr>
        <w:t xml:space="preserve">To the criticism expressed by DPRK of the report and </w:t>
      </w:r>
      <w:r w:rsidR="000D4F40">
        <w:rPr>
          <w:rFonts w:ascii="Arial" w:hAnsi="Arial" w:cs="Arial"/>
          <w:sz w:val="28"/>
          <w:szCs w:val="28"/>
        </w:rPr>
        <w:t xml:space="preserve">the alleged </w:t>
      </w:r>
      <w:r w:rsidR="008C53C1">
        <w:rPr>
          <w:rFonts w:ascii="Arial" w:hAnsi="Arial" w:cs="Arial"/>
          <w:sz w:val="28"/>
          <w:szCs w:val="28"/>
        </w:rPr>
        <w:t>‘</w:t>
      </w:r>
      <w:r>
        <w:rPr>
          <w:rFonts w:ascii="Arial" w:hAnsi="Arial" w:cs="Arial"/>
          <w:sz w:val="28"/>
          <w:szCs w:val="28"/>
        </w:rPr>
        <w:t>self-select</w:t>
      </w:r>
      <w:r w:rsidR="00E46657">
        <w:rPr>
          <w:rFonts w:ascii="Arial" w:hAnsi="Arial" w:cs="Arial"/>
          <w:sz w:val="28"/>
          <w:szCs w:val="28"/>
        </w:rPr>
        <w:t>ing</w:t>
      </w:r>
      <w:r w:rsidR="008C53C1">
        <w:rPr>
          <w:rFonts w:ascii="Arial" w:hAnsi="Arial" w:cs="Arial"/>
          <w:sz w:val="28"/>
          <w:szCs w:val="28"/>
        </w:rPr>
        <w:t>’</w:t>
      </w:r>
      <w:r>
        <w:rPr>
          <w:rFonts w:ascii="Arial" w:hAnsi="Arial" w:cs="Arial"/>
          <w:sz w:val="28"/>
          <w:szCs w:val="28"/>
        </w:rPr>
        <w:t xml:space="preserve"> character of the witnesses, the COI repeatedly responded with appeals to permit COI members to visit the country</w:t>
      </w:r>
      <w:r w:rsidR="00D06EFB">
        <w:rPr>
          <w:rFonts w:ascii="Arial" w:hAnsi="Arial" w:cs="Arial"/>
          <w:sz w:val="28"/>
          <w:szCs w:val="28"/>
        </w:rPr>
        <w:t xml:space="preserve"> to conduct a transparent investigation</w:t>
      </w:r>
      <w:r w:rsidR="000D4F40">
        <w:rPr>
          <w:rFonts w:ascii="Arial" w:hAnsi="Arial" w:cs="Arial"/>
          <w:sz w:val="28"/>
          <w:szCs w:val="28"/>
        </w:rPr>
        <w:t xml:space="preserve"> on the spot</w:t>
      </w:r>
      <w:r w:rsidR="00E46657">
        <w:rPr>
          <w:rFonts w:ascii="Arial" w:hAnsi="Arial" w:cs="Arial"/>
          <w:sz w:val="28"/>
          <w:szCs w:val="28"/>
        </w:rPr>
        <w:t xml:space="preserve"> among a wider pool of witnesses</w:t>
      </w:r>
      <w:r w:rsidR="00D06EFB">
        <w:rPr>
          <w:rFonts w:ascii="Arial" w:hAnsi="Arial" w:cs="Arial"/>
          <w:sz w:val="28"/>
          <w:szCs w:val="28"/>
        </w:rPr>
        <w:t>.</w:t>
      </w:r>
      <w:r w:rsidR="008C53C1">
        <w:rPr>
          <w:rFonts w:ascii="Arial" w:hAnsi="Arial" w:cs="Arial"/>
          <w:sz w:val="28"/>
          <w:szCs w:val="28"/>
        </w:rPr>
        <w:t xml:space="preserve">  This was</w:t>
      </w:r>
      <w:r w:rsidR="000D4F40">
        <w:rPr>
          <w:rFonts w:ascii="Arial" w:hAnsi="Arial" w:cs="Arial"/>
          <w:sz w:val="28"/>
          <w:szCs w:val="28"/>
        </w:rPr>
        <w:t xml:space="preserve"> also</w:t>
      </w:r>
      <w:r w:rsidR="008C53C1">
        <w:rPr>
          <w:rFonts w:ascii="Arial" w:hAnsi="Arial" w:cs="Arial"/>
          <w:sz w:val="28"/>
          <w:szCs w:val="28"/>
        </w:rPr>
        <w:t xml:space="preserve"> ignored.</w:t>
      </w:r>
      <w:r w:rsidR="00D06EFB">
        <w:rPr>
          <w:rFonts w:ascii="Arial" w:hAnsi="Arial" w:cs="Arial"/>
          <w:sz w:val="28"/>
          <w:szCs w:val="28"/>
        </w:rPr>
        <w:t xml:space="preserve">  Moreover, the testimony of more than 80 witnesses (</w:t>
      </w:r>
      <w:r w:rsidR="00E46657">
        <w:rPr>
          <w:rFonts w:ascii="Arial" w:hAnsi="Arial" w:cs="Arial"/>
          <w:sz w:val="28"/>
          <w:szCs w:val="28"/>
        </w:rPr>
        <w:t xml:space="preserve">taken and </w:t>
      </w:r>
      <w:r w:rsidR="00D06EFB">
        <w:rPr>
          <w:rFonts w:ascii="Arial" w:hAnsi="Arial" w:cs="Arial"/>
          <w:sz w:val="28"/>
          <w:szCs w:val="28"/>
        </w:rPr>
        <w:t>recorded in Seoul, Tokyo, London and Washington D.C.) was placed online and</w:t>
      </w:r>
      <w:r w:rsidR="00E46657">
        <w:rPr>
          <w:rFonts w:ascii="Arial" w:hAnsi="Arial" w:cs="Arial"/>
          <w:sz w:val="28"/>
          <w:szCs w:val="28"/>
        </w:rPr>
        <w:t xml:space="preserve"> is</w:t>
      </w:r>
      <w:r w:rsidR="00D06EFB">
        <w:rPr>
          <w:rFonts w:ascii="Arial" w:hAnsi="Arial" w:cs="Arial"/>
          <w:sz w:val="28"/>
          <w:szCs w:val="28"/>
        </w:rPr>
        <w:t xml:space="preserve"> still available there.  This means that people everywhere throughout the world (except in </w:t>
      </w:r>
      <w:r w:rsidR="00E46657">
        <w:rPr>
          <w:rFonts w:ascii="Arial" w:hAnsi="Arial" w:cs="Arial"/>
          <w:sz w:val="28"/>
          <w:szCs w:val="28"/>
        </w:rPr>
        <w:t>the</w:t>
      </w:r>
      <w:r w:rsidR="00D06EFB">
        <w:rPr>
          <w:rFonts w:ascii="Arial" w:hAnsi="Arial" w:cs="Arial"/>
          <w:sz w:val="28"/>
          <w:szCs w:val="28"/>
        </w:rPr>
        <w:t xml:space="preserve"> DPRK) can view the witnesses</w:t>
      </w:r>
      <w:r w:rsidR="000D4F40">
        <w:rPr>
          <w:rFonts w:ascii="Arial" w:hAnsi="Arial" w:cs="Arial"/>
          <w:sz w:val="28"/>
          <w:szCs w:val="28"/>
        </w:rPr>
        <w:t xml:space="preserve"> and their testimony</w:t>
      </w:r>
      <w:r w:rsidR="00D06EFB">
        <w:rPr>
          <w:rFonts w:ascii="Arial" w:hAnsi="Arial" w:cs="Arial"/>
          <w:sz w:val="28"/>
          <w:szCs w:val="28"/>
        </w:rPr>
        <w:t xml:space="preserve"> for themselves and reach their own conclusions as to </w:t>
      </w:r>
      <w:r w:rsidR="000D4F40">
        <w:rPr>
          <w:rFonts w:ascii="Arial" w:hAnsi="Arial" w:cs="Arial"/>
          <w:sz w:val="28"/>
          <w:szCs w:val="28"/>
        </w:rPr>
        <w:t>its</w:t>
      </w:r>
      <w:r w:rsidR="00D06EFB">
        <w:rPr>
          <w:rFonts w:ascii="Arial" w:hAnsi="Arial" w:cs="Arial"/>
          <w:sz w:val="28"/>
          <w:szCs w:val="28"/>
        </w:rPr>
        <w:t xml:space="preserve"> truthfulness, balance and representativity.</w:t>
      </w:r>
      <w:r w:rsidR="00D06EFB">
        <w:rPr>
          <w:rStyle w:val="FootnoteReference"/>
          <w:rFonts w:ascii="Arial" w:hAnsi="Arial" w:cs="Arial"/>
          <w:sz w:val="28"/>
          <w:szCs w:val="28"/>
        </w:rPr>
        <w:footnoteReference w:id="6"/>
      </w:r>
      <w:r>
        <w:rPr>
          <w:rFonts w:ascii="Arial" w:hAnsi="Arial" w:cs="Arial"/>
          <w:sz w:val="28"/>
          <w:szCs w:val="28"/>
        </w:rPr>
        <w:t xml:space="preserve"> </w:t>
      </w:r>
    </w:p>
    <w:p w14:paraId="49C7B1E7" w14:textId="77777777" w:rsidR="00D06EFB" w:rsidRDefault="00D06EFB" w:rsidP="00EC5DCC">
      <w:pPr>
        <w:spacing w:line="360" w:lineRule="auto"/>
        <w:jc w:val="both"/>
        <w:rPr>
          <w:rFonts w:ascii="Arial" w:hAnsi="Arial" w:cs="Arial"/>
          <w:sz w:val="28"/>
          <w:szCs w:val="28"/>
        </w:rPr>
      </w:pPr>
    </w:p>
    <w:p w14:paraId="45E8A59D" w14:textId="3B6B478F" w:rsidR="00AF1BC1" w:rsidRDefault="00D06EFB" w:rsidP="00EC5DCC">
      <w:pPr>
        <w:spacing w:line="360" w:lineRule="auto"/>
        <w:jc w:val="both"/>
        <w:rPr>
          <w:rFonts w:ascii="Arial" w:hAnsi="Arial" w:cs="Arial"/>
          <w:sz w:val="28"/>
          <w:szCs w:val="28"/>
        </w:rPr>
      </w:pPr>
      <w:r>
        <w:rPr>
          <w:rFonts w:ascii="Arial" w:hAnsi="Arial" w:cs="Arial"/>
          <w:sz w:val="28"/>
          <w:szCs w:val="28"/>
        </w:rPr>
        <w:t>The objections and alternating “charm offensive” and bullying tactics adopted by DPRK</w:t>
      </w:r>
      <w:r w:rsidR="00E46657">
        <w:rPr>
          <w:rFonts w:ascii="Arial" w:hAnsi="Arial" w:cs="Arial"/>
          <w:sz w:val="28"/>
          <w:szCs w:val="28"/>
        </w:rPr>
        <w:t>,</w:t>
      </w:r>
      <w:r>
        <w:rPr>
          <w:rFonts w:ascii="Arial" w:hAnsi="Arial" w:cs="Arial"/>
          <w:sz w:val="28"/>
          <w:szCs w:val="28"/>
        </w:rPr>
        <w:t xml:space="preserve"> following publication of the COI report</w:t>
      </w:r>
      <w:r w:rsidR="00E46657">
        <w:rPr>
          <w:rFonts w:ascii="Arial" w:hAnsi="Arial" w:cs="Arial"/>
          <w:sz w:val="28"/>
          <w:szCs w:val="28"/>
        </w:rPr>
        <w:t>,</w:t>
      </w:r>
      <w:r>
        <w:rPr>
          <w:rFonts w:ascii="Arial" w:hAnsi="Arial" w:cs="Arial"/>
          <w:sz w:val="28"/>
          <w:szCs w:val="28"/>
        </w:rPr>
        <w:t xml:space="preserve"> </w:t>
      </w:r>
      <w:r w:rsidR="00E46657">
        <w:rPr>
          <w:rFonts w:ascii="Arial" w:hAnsi="Arial" w:cs="Arial"/>
          <w:sz w:val="28"/>
          <w:szCs w:val="28"/>
        </w:rPr>
        <w:t>are</w:t>
      </w:r>
      <w:r>
        <w:rPr>
          <w:rFonts w:ascii="Arial" w:hAnsi="Arial" w:cs="Arial"/>
          <w:sz w:val="28"/>
          <w:szCs w:val="28"/>
        </w:rPr>
        <w:t xml:space="preserve"> all recorded online.  Sharp (but respectful) exchanges by me with the DPRK Ambassador</w:t>
      </w:r>
      <w:r w:rsidR="000D4F40">
        <w:rPr>
          <w:rFonts w:ascii="Arial" w:hAnsi="Arial" w:cs="Arial"/>
          <w:sz w:val="28"/>
          <w:szCs w:val="28"/>
        </w:rPr>
        <w:t xml:space="preserve"> to the United Nations</w:t>
      </w:r>
      <w:r>
        <w:rPr>
          <w:rFonts w:ascii="Arial" w:hAnsi="Arial" w:cs="Arial"/>
          <w:sz w:val="28"/>
          <w:szCs w:val="28"/>
        </w:rPr>
        <w:t xml:space="preserve"> are</w:t>
      </w:r>
      <w:r w:rsidR="00E46657">
        <w:rPr>
          <w:rFonts w:ascii="Arial" w:hAnsi="Arial" w:cs="Arial"/>
          <w:sz w:val="28"/>
          <w:szCs w:val="28"/>
        </w:rPr>
        <w:t xml:space="preserve"> also</w:t>
      </w:r>
      <w:r>
        <w:rPr>
          <w:rFonts w:ascii="Arial" w:hAnsi="Arial" w:cs="Arial"/>
          <w:sz w:val="28"/>
          <w:szCs w:val="28"/>
        </w:rPr>
        <w:t xml:space="preserve"> captured online (and available on the internet)</w:t>
      </w:r>
      <w:r w:rsidR="00E46657">
        <w:rPr>
          <w:rFonts w:ascii="Arial" w:hAnsi="Arial" w:cs="Arial"/>
          <w:sz w:val="28"/>
          <w:szCs w:val="28"/>
        </w:rPr>
        <w:t xml:space="preserve">. </w:t>
      </w:r>
      <w:r>
        <w:rPr>
          <w:rFonts w:ascii="Arial" w:hAnsi="Arial" w:cs="Arial"/>
          <w:sz w:val="28"/>
          <w:szCs w:val="28"/>
        </w:rPr>
        <w:t xml:space="preserve"> </w:t>
      </w:r>
      <w:r w:rsidR="00E46657">
        <w:rPr>
          <w:rFonts w:ascii="Arial" w:hAnsi="Arial" w:cs="Arial"/>
          <w:sz w:val="28"/>
          <w:szCs w:val="28"/>
        </w:rPr>
        <w:t>These</w:t>
      </w:r>
      <w:r>
        <w:rPr>
          <w:rFonts w:ascii="Arial" w:hAnsi="Arial" w:cs="Arial"/>
          <w:sz w:val="28"/>
          <w:szCs w:val="28"/>
        </w:rPr>
        <w:t xml:space="preserve"> allow both the political actors and the general international public to evaluate </w:t>
      </w:r>
      <w:r w:rsidR="00AF1BC1">
        <w:rPr>
          <w:rFonts w:ascii="Arial" w:hAnsi="Arial" w:cs="Arial"/>
          <w:sz w:val="28"/>
          <w:szCs w:val="28"/>
        </w:rPr>
        <w:t>the COI</w:t>
      </w:r>
      <w:r>
        <w:rPr>
          <w:rFonts w:ascii="Arial" w:hAnsi="Arial" w:cs="Arial"/>
          <w:sz w:val="28"/>
          <w:szCs w:val="28"/>
        </w:rPr>
        <w:t xml:space="preserve"> report.  Certainly in the first instance, the political actors in the organs of the United Nations </w:t>
      </w:r>
      <w:r>
        <w:rPr>
          <w:rFonts w:ascii="Arial" w:hAnsi="Arial" w:cs="Arial"/>
          <w:sz w:val="28"/>
          <w:szCs w:val="28"/>
        </w:rPr>
        <w:lastRenderedPageBreak/>
        <w:t>indicated their strong conclusions by overwhelming votes endorsing the report, recorded successively in the HRC, in the General Assembly and the Security Council of the United Nations.  In the Council, by a procedural vote not subject to the veto</w:t>
      </w:r>
      <w:r w:rsidR="00853421">
        <w:rPr>
          <w:rStyle w:val="FootnoteReference"/>
          <w:rFonts w:ascii="Arial" w:hAnsi="Arial" w:cs="Arial"/>
          <w:sz w:val="28"/>
          <w:szCs w:val="28"/>
        </w:rPr>
        <w:footnoteReference w:id="7"/>
      </w:r>
      <w:r>
        <w:rPr>
          <w:rFonts w:ascii="Arial" w:hAnsi="Arial" w:cs="Arial"/>
          <w:sz w:val="28"/>
          <w:szCs w:val="28"/>
        </w:rPr>
        <w:t xml:space="preserve"> </w:t>
      </w:r>
      <w:r w:rsidR="00853421">
        <w:rPr>
          <w:rFonts w:ascii="Arial" w:hAnsi="Arial" w:cs="Arial"/>
          <w:sz w:val="28"/>
          <w:szCs w:val="28"/>
        </w:rPr>
        <w:t>the human rights situation in DPRK was added to the agenda</w:t>
      </w:r>
      <w:r w:rsidR="00AF1BC1">
        <w:rPr>
          <w:rFonts w:ascii="Arial" w:hAnsi="Arial" w:cs="Arial"/>
          <w:sz w:val="28"/>
          <w:szCs w:val="28"/>
        </w:rPr>
        <w:t xml:space="preserve"> of the</w:t>
      </w:r>
      <w:r w:rsidR="009A409C">
        <w:rPr>
          <w:rFonts w:ascii="Arial" w:hAnsi="Arial" w:cs="Arial"/>
          <w:sz w:val="28"/>
          <w:szCs w:val="28"/>
        </w:rPr>
        <w:t xml:space="preserve"> Security</w:t>
      </w:r>
      <w:r w:rsidR="00AF1BC1">
        <w:rPr>
          <w:rFonts w:ascii="Arial" w:hAnsi="Arial" w:cs="Arial"/>
          <w:sz w:val="28"/>
          <w:szCs w:val="28"/>
        </w:rPr>
        <w:t xml:space="preserve"> Council</w:t>
      </w:r>
      <w:r w:rsidR="00853421">
        <w:rPr>
          <w:rFonts w:ascii="Arial" w:hAnsi="Arial" w:cs="Arial"/>
          <w:sz w:val="28"/>
          <w:szCs w:val="28"/>
        </w:rPr>
        <w:t xml:space="preserve"> by</w:t>
      </w:r>
      <w:r w:rsidR="00AF1BC1">
        <w:rPr>
          <w:rFonts w:ascii="Arial" w:hAnsi="Arial" w:cs="Arial"/>
          <w:sz w:val="28"/>
          <w:szCs w:val="28"/>
        </w:rPr>
        <w:t xml:space="preserve"> a</w:t>
      </w:r>
      <w:r w:rsidR="00853421">
        <w:rPr>
          <w:rFonts w:ascii="Arial" w:hAnsi="Arial" w:cs="Arial"/>
          <w:sz w:val="28"/>
          <w:szCs w:val="28"/>
        </w:rPr>
        <w:t xml:space="preserve"> two third majority (11</w:t>
      </w:r>
      <w:r w:rsidR="00AF1BC1">
        <w:rPr>
          <w:rFonts w:ascii="Arial" w:hAnsi="Arial" w:cs="Arial"/>
          <w:sz w:val="28"/>
          <w:szCs w:val="28"/>
        </w:rPr>
        <w:t xml:space="preserve"> for</w:t>
      </w:r>
      <w:r w:rsidR="00853421">
        <w:rPr>
          <w:rFonts w:ascii="Arial" w:hAnsi="Arial" w:cs="Arial"/>
          <w:sz w:val="28"/>
          <w:szCs w:val="28"/>
        </w:rPr>
        <w:t>; two abstentions; two against</w:t>
      </w:r>
      <w:r w:rsidR="00AF1BC1">
        <w:rPr>
          <w:rFonts w:ascii="Arial" w:hAnsi="Arial" w:cs="Arial"/>
          <w:sz w:val="28"/>
          <w:szCs w:val="28"/>
        </w:rPr>
        <w:t>)</w:t>
      </w:r>
      <w:r w:rsidR="00853421">
        <w:rPr>
          <w:rFonts w:ascii="Arial" w:hAnsi="Arial" w:cs="Arial"/>
          <w:sz w:val="28"/>
          <w:szCs w:val="28"/>
        </w:rPr>
        <w:t xml:space="preserve">.  </w:t>
      </w:r>
    </w:p>
    <w:p w14:paraId="1C1A6754" w14:textId="77777777" w:rsidR="00AF1BC1" w:rsidRDefault="00AF1BC1" w:rsidP="00EC5DCC">
      <w:pPr>
        <w:spacing w:line="360" w:lineRule="auto"/>
        <w:jc w:val="both"/>
        <w:rPr>
          <w:rFonts w:ascii="Arial" w:hAnsi="Arial" w:cs="Arial"/>
          <w:sz w:val="28"/>
          <w:szCs w:val="28"/>
        </w:rPr>
      </w:pPr>
    </w:p>
    <w:p w14:paraId="287ED100" w14:textId="0FC3EF81" w:rsidR="00AF1BC1" w:rsidRDefault="00853421" w:rsidP="00EC5DCC">
      <w:pPr>
        <w:spacing w:line="360" w:lineRule="auto"/>
        <w:jc w:val="both"/>
        <w:rPr>
          <w:rFonts w:ascii="Arial" w:hAnsi="Arial" w:cs="Arial"/>
          <w:sz w:val="28"/>
          <w:szCs w:val="28"/>
        </w:rPr>
      </w:pPr>
      <w:r>
        <w:rPr>
          <w:rFonts w:ascii="Arial" w:hAnsi="Arial" w:cs="Arial"/>
          <w:sz w:val="28"/>
          <w:szCs w:val="28"/>
        </w:rPr>
        <w:t xml:space="preserve">Two Permanent Members of the Security Council, China and the Russian Federation, on a show of hands, voted against the </w:t>
      </w:r>
      <w:r w:rsidR="00AF1BC1">
        <w:rPr>
          <w:rFonts w:ascii="Arial" w:hAnsi="Arial" w:cs="Arial"/>
          <w:sz w:val="28"/>
          <w:szCs w:val="28"/>
        </w:rPr>
        <w:t>procedural resolution adding the COI report to the Council’s agenda</w:t>
      </w:r>
      <w:r>
        <w:rPr>
          <w:rFonts w:ascii="Arial" w:hAnsi="Arial" w:cs="Arial"/>
          <w:sz w:val="28"/>
          <w:szCs w:val="28"/>
        </w:rPr>
        <w:t xml:space="preserve">.  One substantive matter where the </w:t>
      </w:r>
      <w:r w:rsidR="00AF1BC1">
        <w:rPr>
          <w:rFonts w:ascii="Arial" w:hAnsi="Arial" w:cs="Arial"/>
          <w:sz w:val="28"/>
          <w:szCs w:val="28"/>
        </w:rPr>
        <w:t>concurring</w:t>
      </w:r>
      <w:r>
        <w:rPr>
          <w:rFonts w:ascii="Arial" w:hAnsi="Arial" w:cs="Arial"/>
          <w:sz w:val="28"/>
          <w:szCs w:val="28"/>
        </w:rPr>
        <w:t xml:space="preserve"> decision of the Permanent Members </w:t>
      </w:r>
      <w:r w:rsidR="00AF1BC1">
        <w:rPr>
          <w:rFonts w:ascii="Arial" w:hAnsi="Arial" w:cs="Arial"/>
          <w:sz w:val="28"/>
          <w:szCs w:val="28"/>
        </w:rPr>
        <w:t>would be</w:t>
      </w:r>
      <w:r>
        <w:rPr>
          <w:rFonts w:ascii="Arial" w:hAnsi="Arial" w:cs="Arial"/>
          <w:sz w:val="28"/>
          <w:szCs w:val="28"/>
        </w:rPr>
        <w:t xml:space="preserve"> essential concerns the COI’s recommendation that</w:t>
      </w:r>
      <w:r w:rsidR="00AF1BC1">
        <w:rPr>
          <w:rFonts w:ascii="Arial" w:hAnsi="Arial" w:cs="Arial"/>
          <w:sz w:val="28"/>
          <w:szCs w:val="28"/>
        </w:rPr>
        <w:t xml:space="preserve"> the</w:t>
      </w:r>
      <w:r>
        <w:rPr>
          <w:rFonts w:ascii="Arial" w:hAnsi="Arial" w:cs="Arial"/>
          <w:sz w:val="28"/>
          <w:szCs w:val="28"/>
        </w:rPr>
        <w:t xml:space="preserve"> case of North Korea should be referred to the International Criminal Court so that prosecutorial decisions m</w:t>
      </w:r>
      <w:r w:rsidR="00AF1BC1">
        <w:rPr>
          <w:rFonts w:ascii="Arial" w:hAnsi="Arial" w:cs="Arial"/>
          <w:sz w:val="28"/>
          <w:szCs w:val="28"/>
        </w:rPr>
        <w:t>ight</w:t>
      </w:r>
      <w:r>
        <w:rPr>
          <w:rFonts w:ascii="Arial" w:hAnsi="Arial" w:cs="Arial"/>
          <w:sz w:val="28"/>
          <w:szCs w:val="28"/>
        </w:rPr>
        <w:t xml:space="preserve"> be </w:t>
      </w:r>
      <w:r w:rsidR="009A409C">
        <w:rPr>
          <w:rFonts w:ascii="Arial" w:hAnsi="Arial" w:cs="Arial"/>
          <w:sz w:val="28"/>
          <w:szCs w:val="28"/>
        </w:rPr>
        <w:t>considered</w:t>
      </w:r>
      <w:r>
        <w:rPr>
          <w:rFonts w:ascii="Arial" w:hAnsi="Arial" w:cs="Arial"/>
          <w:sz w:val="28"/>
          <w:szCs w:val="28"/>
        </w:rPr>
        <w:t>, and if so decided, trials conducted to render those</w:t>
      </w:r>
      <w:r w:rsidR="008C53C1">
        <w:rPr>
          <w:rFonts w:ascii="Arial" w:hAnsi="Arial" w:cs="Arial"/>
          <w:sz w:val="28"/>
          <w:szCs w:val="28"/>
        </w:rPr>
        <w:t xml:space="preserve"> arguably</w:t>
      </w:r>
      <w:r>
        <w:rPr>
          <w:rFonts w:ascii="Arial" w:hAnsi="Arial" w:cs="Arial"/>
          <w:sz w:val="28"/>
          <w:szCs w:val="28"/>
        </w:rPr>
        <w:t xml:space="preserve"> guilty of grave crimes accountable before the people of Korea and the international community.</w:t>
      </w:r>
      <w:r>
        <w:rPr>
          <w:rStyle w:val="FootnoteReference"/>
          <w:rFonts w:ascii="Arial" w:hAnsi="Arial" w:cs="Arial"/>
          <w:sz w:val="28"/>
          <w:szCs w:val="28"/>
        </w:rPr>
        <w:footnoteReference w:id="8"/>
      </w:r>
      <w:r w:rsidR="00A9596B">
        <w:rPr>
          <w:rFonts w:ascii="Arial" w:hAnsi="Arial" w:cs="Arial"/>
          <w:sz w:val="28"/>
          <w:szCs w:val="28"/>
        </w:rPr>
        <w:t xml:space="preserve"> </w:t>
      </w:r>
      <w:r w:rsidR="00AF1BC1">
        <w:rPr>
          <w:rFonts w:ascii="Arial" w:hAnsi="Arial" w:cs="Arial"/>
          <w:sz w:val="28"/>
          <w:szCs w:val="28"/>
        </w:rPr>
        <w:t xml:space="preserve">  That substantive resolution has not, so far, been</w:t>
      </w:r>
      <w:r w:rsidR="009A409C">
        <w:rPr>
          <w:rFonts w:ascii="Arial" w:hAnsi="Arial" w:cs="Arial"/>
          <w:sz w:val="28"/>
          <w:szCs w:val="28"/>
        </w:rPr>
        <w:t xml:space="preserve"> proposed, still less</w:t>
      </w:r>
      <w:r w:rsidR="00AF1BC1">
        <w:rPr>
          <w:rFonts w:ascii="Arial" w:hAnsi="Arial" w:cs="Arial"/>
          <w:sz w:val="28"/>
          <w:szCs w:val="28"/>
        </w:rPr>
        <w:t xml:space="preserve"> voted on.</w:t>
      </w:r>
      <w:r w:rsidR="00EC5DCC">
        <w:rPr>
          <w:rFonts w:ascii="Arial" w:hAnsi="Arial" w:cs="Arial"/>
          <w:sz w:val="28"/>
          <w:szCs w:val="28"/>
        </w:rPr>
        <w:t xml:space="preserve"> </w:t>
      </w:r>
    </w:p>
    <w:p w14:paraId="2CDC921B" w14:textId="77777777" w:rsidR="00AF1BC1" w:rsidRDefault="00AF1BC1" w:rsidP="00EC5DCC">
      <w:pPr>
        <w:spacing w:line="360" w:lineRule="auto"/>
        <w:jc w:val="both"/>
        <w:rPr>
          <w:rFonts w:ascii="Arial" w:hAnsi="Arial" w:cs="Arial"/>
          <w:sz w:val="28"/>
          <w:szCs w:val="28"/>
        </w:rPr>
      </w:pPr>
    </w:p>
    <w:p w14:paraId="2B6B81A3" w14:textId="7C55F260" w:rsidR="00EC5DCC" w:rsidRDefault="00853421" w:rsidP="00EC5DCC">
      <w:pPr>
        <w:spacing w:line="360" w:lineRule="auto"/>
        <w:jc w:val="both"/>
        <w:rPr>
          <w:rFonts w:ascii="Arial" w:hAnsi="Arial" w:cs="Arial"/>
          <w:sz w:val="28"/>
          <w:szCs w:val="28"/>
        </w:rPr>
      </w:pPr>
      <w:r>
        <w:rPr>
          <w:rFonts w:ascii="Arial" w:hAnsi="Arial" w:cs="Arial"/>
          <w:sz w:val="28"/>
          <w:szCs w:val="28"/>
        </w:rPr>
        <w:t>Under the</w:t>
      </w:r>
      <w:r w:rsidR="00AF1BC1">
        <w:rPr>
          <w:rFonts w:ascii="Arial" w:hAnsi="Arial" w:cs="Arial"/>
          <w:sz w:val="28"/>
          <w:szCs w:val="28"/>
        </w:rPr>
        <w:t xml:space="preserve"> Security Council’s</w:t>
      </w:r>
      <w:r>
        <w:rPr>
          <w:rFonts w:ascii="Arial" w:hAnsi="Arial" w:cs="Arial"/>
          <w:sz w:val="28"/>
          <w:szCs w:val="28"/>
        </w:rPr>
        <w:t xml:space="preserve"> procedural resolution</w:t>
      </w:r>
      <w:r w:rsidR="00AF1BC1">
        <w:rPr>
          <w:rFonts w:ascii="Arial" w:hAnsi="Arial" w:cs="Arial"/>
          <w:sz w:val="28"/>
          <w:szCs w:val="28"/>
        </w:rPr>
        <w:t xml:space="preserve"> of December 2014</w:t>
      </w:r>
      <w:r>
        <w:rPr>
          <w:rFonts w:ascii="Arial" w:hAnsi="Arial" w:cs="Arial"/>
          <w:sz w:val="28"/>
          <w:szCs w:val="28"/>
        </w:rPr>
        <w:t>, the issues of human rights in DPRK remain on the agenda of the Council for three years at least.  Hopefully, a time will arrive whe</w:t>
      </w:r>
      <w:r w:rsidR="00AF1BC1">
        <w:rPr>
          <w:rFonts w:ascii="Arial" w:hAnsi="Arial" w:cs="Arial"/>
          <w:sz w:val="28"/>
          <w:szCs w:val="28"/>
        </w:rPr>
        <w:t>n a</w:t>
      </w:r>
      <w:r>
        <w:rPr>
          <w:rFonts w:ascii="Arial" w:hAnsi="Arial" w:cs="Arial"/>
          <w:sz w:val="28"/>
          <w:szCs w:val="28"/>
        </w:rPr>
        <w:t xml:space="preserve"> consensus has formed that at least the gravest findings on the part of the COI </w:t>
      </w:r>
      <w:r w:rsidR="009A409C">
        <w:rPr>
          <w:rFonts w:ascii="Arial" w:hAnsi="Arial" w:cs="Arial"/>
          <w:sz w:val="28"/>
          <w:szCs w:val="28"/>
        </w:rPr>
        <w:t xml:space="preserve">and its officials </w:t>
      </w:r>
      <w:r>
        <w:rPr>
          <w:rFonts w:ascii="Arial" w:hAnsi="Arial" w:cs="Arial"/>
          <w:sz w:val="28"/>
          <w:szCs w:val="28"/>
        </w:rPr>
        <w:t xml:space="preserve">must be fully considered by a prosecutor with appropriate powers to initiate action.  Under international law, where a nation state fails to </w:t>
      </w:r>
      <w:r w:rsidR="009A409C">
        <w:rPr>
          <w:rFonts w:ascii="Arial" w:hAnsi="Arial" w:cs="Arial"/>
          <w:sz w:val="28"/>
          <w:szCs w:val="28"/>
        </w:rPr>
        <w:t>ensure</w:t>
      </w:r>
      <w:r>
        <w:rPr>
          <w:rFonts w:ascii="Arial" w:hAnsi="Arial" w:cs="Arial"/>
          <w:sz w:val="28"/>
          <w:szCs w:val="28"/>
        </w:rPr>
        <w:t xml:space="preserve"> accountability for grave human rights crimes, the </w:t>
      </w:r>
      <w:r w:rsidR="00AF1BC1">
        <w:rPr>
          <w:rFonts w:ascii="Arial" w:hAnsi="Arial" w:cs="Arial"/>
          <w:sz w:val="28"/>
          <w:szCs w:val="28"/>
        </w:rPr>
        <w:t>other</w:t>
      </w:r>
      <w:r>
        <w:rPr>
          <w:rFonts w:ascii="Arial" w:hAnsi="Arial" w:cs="Arial"/>
          <w:sz w:val="28"/>
          <w:szCs w:val="28"/>
        </w:rPr>
        <w:t xml:space="preserve"> members of the international community in the United Nations have a </w:t>
      </w:r>
      <w:r>
        <w:rPr>
          <w:rFonts w:ascii="Arial" w:hAnsi="Arial" w:cs="Arial"/>
          <w:sz w:val="28"/>
          <w:szCs w:val="28"/>
        </w:rPr>
        <w:lastRenderedPageBreak/>
        <w:t>“responsibility to protect” those who are left unprotected by their own country.</w:t>
      </w:r>
      <w:r>
        <w:rPr>
          <w:rStyle w:val="FootnoteReference"/>
          <w:rFonts w:ascii="Arial" w:hAnsi="Arial" w:cs="Arial"/>
          <w:sz w:val="28"/>
          <w:szCs w:val="28"/>
        </w:rPr>
        <w:footnoteReference w:id="9"/>
      </w:r>
    </w:p>
    <w:p w14:paraId="558D1C72" w14:textId="77777777" w:rsidR="00853421" w:rsidRDefault="00853421" w:rsidP="00EC5DCC">
      <w:pPr>
        <w:spacing w:line="360" w:lineRule="auto"/>
        <w:jc w:val="both"/>
        <w:rPr>
          <w:rFonts w:ascii="Arial" w:hAnsi="Arial" w:cs="Arial"/>
          <w:sz w:val="28"/>
          <w:szCs w:val="28"/>
        </w:rPr>
      </w:pPr>
    </w:p>
    <w:p w14:paraId="21891962" w14:textId="761E07C8" w:rsidR="00853421" w:rsidRDefault="00853421" w:rsidP="00EC5DCC">
      <w:pPr>
        <w:spacing w:line="360" w:lineRule="auto"/>
        <w:jc w:val="both"/>
        <w:rPr>
          <w:rFonts w:ascii="Arial" w:hAnsi="Arial" w:cs="Arial"/>
          <w:sz w:val="28"/>
          <w:szCs w:val="28"/>
        </w:rPr>
      </w:pPr>
      <w:r>
        <w:rPr>
          <w:rFonts w:ascii="Arial" w:hAnsi="Arial" w:cs="Arial"/>
          <w:sz w:val="28"/>
          <w:szCs w:val="28"/>
        </w:rPr>
        <w:t>In reaching its conclusions, the COI explained</w:t>
      </w:r>
      <w:r w:rsidR="00AF1BC1">
        <w:rPr>
          <w:rFonts w:ascii="Arial" w:hAnsi="Arial" w:cs="Arial"/>
          <w:sz w:val="28"/>
          <w:szCs w:val="28"/>
        </w:rPr>
        <w:t xml:space="preserve"> the origins of its mandate,</w:t>
      </w:r>
      <w:r w:rsidR="00AF1BC1" w:rsidRPr="00AF1BC1">
        <w:rPr>
          <w:rFonts w:ascii="Arial" w:hAnsi="Arial" w:cs="Arial"/>
          <w:sz w:val="28"/>
          <w:szCs w:val="28"/>
          <w:vertAlign w:val="superscript"/>
        </w:rPr>
        <w:footnoteReference w:id="10"/>
      </w:r>
      <w:r>
        <w:rPr>
          <w:rFonts w:ascii="Arial" w:hAnsi="Arial" w:cs="Arial"/>
          <w:sz w:val="28"/>
          <w:szCs w:val="28"/>
        </w:rPr>
        <w:t xml:space="preserve"> its methodology</w:t>
      </w:r>
      <w:r w:rsidR="00AF1BC1" w:rsidRPr="00AF1BC1">
        <w:rPr>
          <w:rFonts w:ascii="Arial" w:hAnsi="Arial" w:cs="Arial"/>
          <w:sz w:val="28"/>
          <w:szCs w:val="28"/>
          <w:vertAlign w:val="superscript"/>
        </w:rPr>
        <w:footnoteReference w:id="11"/>
      </w:r>
      <w:r>
        <w:rPr>
          <w:rFonts w:ascii="Arial" w:hAnsi="Arial" w:cs="Arial"/>
          <w:sz w:val="28"/>
          <w:szCs w:val="28"/>
        </w:rPr>
        <w:t xml:space="preserve"> and the interpretation that it took of its mandate as well as its methods of work.</w:t>
      </w:r>
      <w:r w:rsidR="00AF1BC1" w:rsidRPr="00AF1BC1">
        <w:rPr>
          <w:rFonts w:ascii="Arial" w:hAnsi="Arial" w:cs="Arial"/>
          <w:sz w:val="28"/>
          <w:szCs w:val="28"/>
          <w:vertAlign w:val="superscript"/>
        </w:rPr>
        <w:footnoteReference w:id="12"/>
      </w:r>
      <w:r>
        <w:rPr>
          <w:rFonts w:ascii="Arial" w:hAnsi="Arial" w:cs="Arial"/>
          <w:sz w:val="28"/>
          <w:szCs w:val="28"/>
        </w:rPr>
        <w:t xml:space="preserve">  Specifically, the COI described the standard of proof that it required for accepting testimony of witnesses and deriving conclusions from that testimony so as to respond to its mandate.</w:t>
      </w:r>
      <w:r w:rsidR="00AF1BC1" w:rsidRPr="00AF1BC1">
        <w:rPr>
          <w:rFonts w:ascii="Arial" w:hAnsi="Arial" w:cs="Arial"/>
          <w:sz w:val="28"/>
          <w:szCs w:val="28"/>
          <w:vertAlign w:val="superscript"/>
        </w:rPr>
        <w:footnoteReference w:id="13"/>
      </w:r>
      <w:r>
        <w:rPr>
          <w:rFonts w:ascii="Arial" w:hAnsi="Arial" w:cs="Arial"/>
          <w:sz w:val="28"/>
          <w:szCs w:val="28"/>
        </w:rPr>
        <w:t xml:space="preserve"> On the issue of differentiating probative from non-probative evidence, the COI said:</w:t>
      </w:r>
      <w:r w:rsidR="00AF1BC1" w:rsidRPr="00AF1BC1">
        <w:rPr>
          <w:rFonts w:ascii="Arial" w:hAnsi="Arial" w:cs="Arial"/>
          <w:sz w:val="28"/>
          <w:szCs w:val="28"/>
          <w:vertAlign w:val="superscript"/>
        </w:rPr>
        <w:t xml:space="preserve"> </w:t>
      </w:r>
      <w:r w:rsidR="00AF1BC1" w:rsidRPr="00AF1BC1">
        <w:rPr>
          <w:rFonts w:ascii="Arial" w:hAnsi="Arial" w:cs="Arial"/>
          <w:sz w:val="28"/>
          <w:szCs w:val="28"/>
          <w:vertAlign w:val="superscript"/>
        </w:rPr>
        <w:footnoteReference w:id="14"/>
      </w:r>
    </w:p>
    <w:p w14:paraId="6383B735" w14:textId="77777777" w:rsidR="00853421" w:rsidRDefault="00853421" w:rsidP="00EC5DCC">
      <w:pPr>
        <w:spacing w:line="360" w:lineRule="auto"/>
        <w:jc w:val="both"/>
        <w:rPr>
          <w:rFonts w:ascii="Arial" w:hAnsi="Arial" w:cs="Arial"/>
          <w:sz w:val="28"/>
          <w:szCs w:val="28"/>
        </w:rPr>
      </w:pPr>
    </w:p>
    <w:p w14:paraId="4F1868C9" w14:textId="25D12A54" w:rsidR="00853421" w:rsidRPr="00E94BFE" w:rsidRDefault="00853421" w:rsidP="00853421">
      <w:pPr>
        <w:spacing w:line="360" w:lineRule="auto"/>
        <w:ind w:left="720"/>
        <w:jc w:val="both"/>
        <w:rPr>
          <w:sz w:val="28"/>
          <w:szCs w:val="28"/>
        </w:rPr>
      </w:pPr>
      <w:r w:rsidRPr="00E94BFE">
        <w:rPr>
          <w:sz w:val="28"/>
          <w:szCs w:val="28"/>
        </w:rPr>
        <w:t>“Consistent with the practice of other United Na</w:t>
      </w:r>
      <w:r w:rsidR="00AF1BC1">
        <w:rPr>
          <w:sz w:val="28"/>
          <w:szCs w:val="28"/>
        </w:rPr>
        <w:t>tions fact-finding bodies, the C</w:t>
      </w:r>
      <w:r w:rsidRPr="00E94BFE">
        <w:rPr>
          <w:sz w:val="28"/>
          <w:szCs w:val="28"/>
        </w:rPr>
        <w:t xml:space="preserve">ommission employed a ‘reasonable grounds’ standard of proof’ in making factual determinations on individual cases, incidents and patterns of state conduct.  These factual determinations </w:t>
      </w:r>
      <w:r w:rsidR="009A409C">
        <w:rPr>
          <w:sz w:val="28"/>
          <w:szCs w:val="28"/>
        </w:rPr>
        <w:t>provided</w:t>
      </w:r>
      <w:r w:rsidRPr="00E94BFE">
        <w:rPr>
          <w:sz w:val="28"/>
          <w:szCs w:val="28"/>
        </w:rPr>
        <w:t xml:space="preserve"> the basis for the legal qualification of incidents and patterns of conduct as human rights violations and, where appropriate, crimes against humanity. … There are ‘reasonable grounds’ establishing that an incident or pattern of</w:t>
      </w:r>
      <w:r w:rsidR="00AF1BC1">
        <w:rPr>
          <w:sz w:val="28"/>
          <w:szCs w:val="28"/>
        </w:rPr>
        <w:t xml:space="preserve"> conduct has occurred when the C</w:t>
      </w:r>
      <w:r w:rsidRPr="00E94BFE">
        <w:rPr>
          <w:sz w:val="28"/>
          <w:szCs w:val="28"/>
        </w:rPr>
        <w:t xml:space="preserve">ommission is satisfied that it has obtained a reliable body of information, consistent with other material, based on which a reasonable and ordinary prudent person has reason to believe that such incident or pattern of conduct has occurred.  The standard of proof is lower than the standard required in criminal proceedings to sustain an </w:t>
      </w:r>
      <w:r w:rsidR="00E94BFE" w:rsidRPr="00E94BFE">
        <w:rPr>
          <w:sz w:val="28"/>
          <w:szCs w:val="28"/>
        </w:rPr>
        <w:t xml:space="preserve">indictment, but it is sufficiently high to call for further investigation into the incident or pattern of conduct and, where available, initiation of the </w:t>
      </w:r>
      <w:r w:rsidR="00E94BFE" w:rsidRPr="00E94BFE">
        <w:rPr>
          <w:sz w:val="28"/>
          <w:szCs w:val="28"/>
        </w:rPr>
        <w:lastRenderedPageBreak/>
        <w:t>consideration of a possible pro</w:t>
      </w:r>
      <w:r w:rsidR="00AF1BC1">
        <w:rPr>
          <w:sz w:val="28"/>
          <w:szCs w:val="28"/>
        </w:rPr>
        <w:t>secution.  The findings of the C</w:t>
      </w:r>
      <w:r w:rsidR="00E94BFE" w:rsidRPr="00E94BFE">
        <w:rPr>
          <w:sz w:val="28"/>
          <w:szCs w:val="28"/>
        </w:rPr>
        <w:t>ommission appearing in this report must be understood as being based on the ‘reasonable grounds’ standard of proof, even where the full explanation… is not necessarily expressed throughout the text of this report.”</w:t>
      </w:r>
    </w:p>
    <w:p w14:paraId="3DDE762B" w14:textId="77777777" w:rsidR="00E94BFE" w:rsidRDefault="00E94BFE" w:rsidP="00E94BFE">
      <w:pPr>
        <w:spacing w:line="360" w:lineRule="auto"/>
        <w:jc w:val="both"/>
        <w:rPr>
          <w:rFonts w:ascii="Arial" w:hAnsi="Arial" w:cs="Arial"/>
          <w:sz w:val="28"/>
          <w:szCs w:val="28"/>
        </w:rPr>
      </w:pPr>
    </w:p>
    <w:p w14:paraId="2D65936B" w14:textId="57E337CD" w:rsidR="008C53C1" w:rsidRDefault="00E94BFE" w:rsidP="00E94BFE">
      <w:pPr>
        <w:spacing w:line="360" w:lineRule="auto"/>
        <w:jc w:val="both"/>
        <w:rPr>
          <w:rFonts w:ascii="Arial" w:hAnsi="Arial" w:cs="Arial"/>
          <w:sz w:val="28"/>
          <w:szCs w:val="28"/>
        </w:rPr>
      </w:pPr>
      <w:r>
        <w:rPr>
          <w:rFonts w:ascii="Arial" w:hAnsi="Arial" w:cs="Arial"/>
          <w:sz w:val="28"/>
          <w:szCs w:val="28"/>
        </w:rPr>
        <w:t>After the publication of the COI report</w:t>
      </w:r>
      <w:r w:rsidR="00AF1BC1">
        <w:rPr>
          <w:rFonts w:ascii="Arial" w:hAnsi="Arial" w:cs="Arial"/>
          <w:sz w:val="28"/>
          <w:szCs w:val="28"/>
        </w:rPr>
        <w:t>,</w:t>
      </w:r>
      <w:r>
        <w:rPr>
          <w:rFonts w:ascii="Arial" w:hAnsi="Arial" w:cs="Arial"/>
          <w:sz w:val="28"/>
          <w:szCs w:val="28"/>
        </w:rPr>
        <w:t xml:space="preserve"> and the action</w:t>
      </w:r>
      <w:r w:rsidR="009A409C">
        <w:rPr>
          <w:rFonts w:ascii="Arial" w:hAnsi="Arial" w:cs="Arial"/>
          <w:sz w:val="28"/>
          <w:szCs w:val="28"/>
        </w:rPr>
        <w:t>s</w:t>
      </w:r>
      <w:r>
        <w:rPr>
          <w:rFonts w:ascii="Arial" w:hAnsi="Arial" w:cs="Arial"/>
          <w:sz w:val="28"/>
          <w:szCs w:val="28"/>
        </w:rPr>
        <w:t xml:space="preserve"> of the three</w:t>
      </w:r>
      <w:r w:rsidR="00AF1BC1">
        <w:rPr>
          <w:rFonts w:ascii="Arial" w:hAnsi="Arial" w:cs="Arial"/>
          <w:sz w:val="28"/>
          <w:szCs w:val="28"/>
        </w:rPr>
        <w:t xml:space="preserve"> principal</w:t>
      </w:r>
      <w:r>
        <w:rPr>
          <w:rFonts w:ascii="Arial" w:hAnsi="Arial" w:cs="Arial"/>
          <w:sz w:val="28"/>
          <w:szCs w:val="28"/>
        </w:rPr>
        <w:t xml:space="preserve"> organs of the United Nations in </w:t>
      </w:r>
      <w:r w:rsidR="008C53C1">
        <w:rPr>
          <w:rFonts w:ascii="Arial" w:hAnsi="Arial" w:cs="Arial"/>
          <w:sz w:val="28"/>
          <w:szCs w:val="28"/>
        </w:rPr>
        <w:t>considering it</w:t>
      </w:r>
      <w:r>
        <w:rPr>
          <w:rFonts w:ascii="Arial" w:hAnsi="Arial" w:cs="Arial"/>
          <w:sz w:val="28"/>
          <w:szCs w:val="28"/>
        </w:rPr>
        <w:t>, an event occurred which</w:t>
      </w:r>
      <w:r w:rsidR="00AF1BC1">
        <w:rPr>
          <w:rFonts w:ascii="Arial" w:hAnsi="Arial" w:cs="Arial"/>
          <w:sz w:val="28"/>
          <w:szCs w:val="28"/>
        </w:rPr>
        <w:t xml:space="preserve"> the</w:t>
      </w:r>
      <w:r>
        <w:rPr>
          <w:rFonts w:ascii="Arial" w:hAnsi="Arial" w:cs="Arial"/>
          <w:sz w:val="28"/>
          <w:szCs w:val="28"/>
        </w:rPr>
        <w:t xml:space="preserve"> DPRK used to attempt to destroy the entire credibility of the COI report and </w:t>
      </w:r>
      <w:r w:rsidR="00CB0C71">
        <w:rPr>
          <w:rFonts w:ascii="Arial" w:hAnsi="Arial" w:cs="Arial"/>
          <w:sz w:val="28"/>
          <w:szCs w:val="28"/>
        </w:rPr>
        <w:t xml:space="preserve">its </w:t>
      </w:r>
      <w:r>
        <w:rPr>
          <w:rFonts w:ascii="Arial" w:hAnsi="Arial" w:cs="Arial"/>
          <w:sz w:val="28"/>
          <w:szCs w:val="28"/>
        </w:rPr>
        <w:t>process</w:t>
      </w:r>
      <w:r w:rsidR="00CB0C71">
        <w:rPr>
          <w:rFonts w:ascii="Arial" w:hAnsi="Arial" w:cs="Arial"/>
          <w:sz w:val="28"/>
          <w:szCs w:val="28"/>
        </w:rPr>
        <w:t>es</w:t>
      </w:r>
      <w:r>
        <w:rPr>
          <w:rFonts w:ascii="Arial" w:hAnsi="Arial" w:cs="Arial"/>
          <w:sz w:val="28"/>
          <w:szCs w:val="28"/>
        </w:rPr>
        <w:t xml:space="preserve">.  In January 2015, DPRK released a video film </w:t>
      </w:r>
      <w:r w:rsidR="00CB0C71">
        <w:rPr>
          <w:rFonts w:ascii="Arial" w:hAnsi="Arial" w:cs="Arial"/>
          <w:sz w:val="28"/>
          <w:szCs w:val="28"/>
        </w:rPr>
        <w:t>concerning</w:t>
      </w:r>
      <w:r>
        <w:rPr>
          <w:rFonts w:ascii="Arial" w:hAnsi="Arial" w:cs="Arial"/>
          <w:sz w:val="28"/>
          <w:szCs w:val="28"/>
        </w:rPr>
        <w:t xml:space="preserve"> a witness who had given evidence before the COI and who had subsequently taken part in conferences and meetings recounting his alleged experiences in escaping DPRK.  Shin Dong-hyuk</w:t>
      </w:r>
      <w:r w:rsidR="00CB0C71">
        <w:rPr>
          <w:rFonts w:ascii="Arial" w:hAnsi="Arial" w:cs="Arial"/>
          <w:sz w:val="28"/>
          <w:szCs w:val="28"/>
        </w:rPr>
        <w:t xml:space="preserve"> (Shin)</w:t>
      </w:r>
      <w:r>
        <w:rPr>
          <w:rFonts w:ascii="Arial" w:hAnsi="Arial" w:cs="Arial"/>
          <w:sz w:val="28"/>
          <w:szCs w:val="28"/>
        </w:rPr>
        <w:t xml:space="preserve"> was an articulate, engaging</w:t>
      </w:r>
      <w:r w:rsidR="008C53C1">
        <w:rPr>
          <w:rFonts w:ascii="Arial" w:hAnsi="Arial" w:cs="Arial"/>
          <w:sz w:val="28"/>
          <w:szCs w:val="28"/>
        </w:rPr>
        <w:t xml:space="preserve"> young</w:t>
      </w:r>
      <w:r>
        <w:rPr>
          <w:rFonts w:ascii="Arial" w:hAnsi="Arial" w:cs="Arial"/>
          <w:sz w:val="28"/>
          <w:szCs w:val="28"/>
        </w:rPr>
        <w:t xml:space="preserve"> man whose escape story was unique</w:t>
      </w:r>
      <w:r w:rsidR="00CB0C71">
        <w:rPr>
          <w:rFonts w:ascii="Arial" w:hAnsi="Arial" w:cs="Arial"/>
          <w:sz w:val="28"/>
          <w:szCs w:val="28"/>
        </w:rPr>
        <w:t>,</w:t>
      </w:r>
      <w:r>
        <w:rPr>
          <w:rFonts w:ascii="Arial" w:hAnsi="Arial" w:cs="Arial"/>
          <w:sz w:val="28"/>
          <w:szCs w:val="28"/>
        </w:rPr>
        <w:t xml:space="preserve"> in that he claimed </w:t>
      </w:r>
      <w:r w:rsidR="00CB0C71">
        <w:rPr>
          <w:rFonts w:ascii="Arial" w:hAnsi="Arial" w:cs="Arial"/>
          <w:sz w:val="28"/>
          <w:szCs w:val="28"/>
        </w:rPr>
        <w:t>that he had</w:t>
      </w:r>
      <w:r>
        <w:rPr>
          <w:rFonts w:ascii="Arial" w:hAnsi="Arial" w:cs="Arial"/>
          <w:sz w:val="28"/>
          <w:szCs w:val="28"/>
        </w:rPr>
        <w:t xml:space="preserve"> fled from the highest security detention camp in DPRK, reserved </w:t>
      </w:r>
      <w:r w:rsidR="009A409C">
        <w:rPr>
          <w:rFonts w:ascii="Arial" w:hAnsi="Arial" w:cs="Arial"/>
          <w:sz w:val="28"/>
          <w:szCs w:val="28"/>
        </w:rPr>
        <w:t>for</w:t>
      </w:r>
      <w:r>
        <w:rPr>
          <w:rFonts w:ascii="Arial" w:hAnsi="Arial" w:cs="Arial"/>
          <w:sz w:val="28"/>
          <w:szCs w:val="28"/>
        </w:rPr>
        <w:t xml:space="preserve"> the most dangerous political detainees and their families.  </w:t>
      </w:r>
    </w:p>
    <w:p w14:paraId="08FEB065" w14:textId="77777777" w:rsidR="008C53C1" w:rsidRDefault="008C53C1" w:rsidP="00E94BFE">
      <w:pPr>
        <w:spacing w:line="360" w:lineRule="auto"/>
        <w:jc w:val="both"/>
        <w:rPr>
          <w:rFonts w:ascii="Arial" w:hAnsi="Arial" w:cs="Arial"/>
          <w:sz w:val="28"/>
          <w:szCs w:val="28"/>
        </w:rPr>
      </w:pPr>
    </w:p>
    <w:p w14:paraId="4DBEC899" w14:textId="2C214A82" w:rsidR="00CB0C71" w:rsidRDefault="008C53C1" w:rsidP="00E94BFE">
      <w:pPr>
        <w:spacing w:line="360" w:lineRule="auto"/>
        <w:jc w:val="both"/>
        <w:rPr>
          <w:rFonts w:ascii="Arial" w:hAnsi="Arial" w:cs="Arial"/>
          <w:sz w:val="28"/>
          <w:szCs w:val="28"/>
        </w:rPr>
      </w:pPr>
      <w:r>
        <w:rPr>
          <w:rFonts w:ascii="Arial" w:hAnsi="Arial" w:cs="Arial"/>
          <w:sz w:val="28"/>
          <w:szCs w:val="28"/>
        </w:rPr>
        <w:t>Sh</w:t>
      </w:r>
      <w:r w:rsidR="00E94BFE">
        <w:rPr>
          <w:rFonts w:ascii="Arial" w:hAnsi="Arial" w:cs="Arial"/>
          <w:sz w:val="28"/>
          <w:szCs w:val="28"/>
        </w:rPr>
        <w:t>i</w:t>
      </w:r>
      <w:r>
        <w:rPr>
          <w:rFonts w:ascii="Arial" w:hAnsi="Arial" w:cs="Arial"/>
          <w:sz w:val="28"/>
          <w:szCs w:val="28"/>
        </w:rPr>
        <w:t>n’</w:t>
      </w:r>
      <w:r w:rsidR="00E94BFE">
        <w:rPr>
          <w:rFonts w:ascii="Arial" w:hAnsi="Arial" w:cs="Arial"/>
          <w:sz w:val="28"/>
          <w:szCs w:val="28"/>
        </w:rPr>
        <w:t xml:space="preserve">s story was not only recorded in the transcript of the COI.  It was the subject of a best-selling book </w:t>
      </w:r>
      <w:r w:rsidR="009A409C">
        <w:rPr>
          <w:rFonts w:ascii="Arial" w:hAnsi="Arial" w:cs="Arial"/>
          <w:sz w:val="28"/>
          <w:szCs w:val="28"/>
        </w:rPr>
        <w:t>co-written by him and</w:t>
      </w:r>
      <w:r w:rsidR="00E94BFE">
        <w:rPr>
          <w:rFonts w:ascii="Arial" w:hAnsi="Arial" w:cs="Arial"/>
          <w:sz w:val="28"/>
          <w:szCs w:val="28"/>
        </w:rPr>
        <w:t xml:space="preserve"> Blaine Har</w:t>
      </w:r>
      <w:r w:rsidR="00CB0C71">
        <w:rPr>
          <w:rFonts w:ascii="Arial" w:hAnsi="Arial" w:cs="Arial"/>
          <w:sz w:val="28"/>
          <w:szCs w:val="28"/>
        </w:rPr>
        <w:t>den, a United States journalist.</w:t>
      </w:r>
      <w:r w:rsidR="00CB0C71" w:rsidRPr="00CB0C71">
        <w:rPr>
          <w:rFonts w:ascii="Arial" w:hAnsi="Arial" w:cs="Arial"/>
          <w:sz w:val="28"/>
          <w:szCs w:val="28"/>
          <w:vertAlign w:val="superscript"/>
        </w:rPr>
        <w:t xml:space="preserve"> </w:t>
      </w:r>
      <w:r w:rsidR="00CB0C71" w:rsidRPr="00CB0C71">
        <w:rPr>
          <w:rFonts w:ascii="Arial" w:hAnsi="Arial" w:cs="Arial"/>
          <w:sz w:val="28"/>
          <w:szCs w:val="28"/>
          <w:vertAlign w:val="superscript"/>
        </w:rPr>
        <w:footnoteReference w:id="15"/>
      </w:r>
      <w:r w:rsidR="00E94BFE">
        <w:rPr>
          <w:rFonts w:ascii="Arial" w:hAnsi="Arial" w:cs="Arial"/>
          <w:sz w:val="28"/>
          <w:szCs w:val="28"/>
        </w:rPr>
        <w:t xml:space="preserve"> </w:t>
      </w:r>
      <w:r w:rsidR="00CB0C71">
        <w:rPr>
          <w:rFonts w:ascii="Arial" w:hAnsi="Arial" w:cs="Arial"/>
          <w:sz w:val="28"/>
          <w:szCs w:val="28"/>
        </w:rPr>
        <w:t xml:space="preserve"> T</w:t>
      </w:r>
      <w:r w:rsidR="00E94BFE">
        <w:rPr>
          <w:rFonts w:ascii="Arial" w:hAnsi="Arial" w:cs="Arial"/>
          <w:sz w:val="28"/>
          <w:szCs w:val="28"/>
        </w:rPr>
        <w:t>he video released by DPRK sho</w:t>
      </w:r>
      <w:r w:rsidR="002B19A4">
        <w:rPr>
          <w:rFonts w:ascii="Arial" w:hAnsi="Arial" w:cs="Arial"/>
          <w:sz w:val="28"/>
          <w:szCs w:val="28"/>
        </w:rPr>
        <w:t>wed a person later confirmed as</w:t>
      </w:r>
      <w:r w:rsidR="00CB0C71">
        <w:rPr>
          <w:rFonts w:ascii="Arial" w:hAnsi="Arial" w:cs="Arial"/>
          <w:sz w:val="28"/>
          <w:szCs w:val="28"/>
        </w:rPr>
        <w:t xml:space="preserve"> the father of Shin who stated that</w:t>
      </w:r>
      <w:r w:rsidR="00E94BFE">
        <w:rPr>
          <w:rFonts w:ascii="Arial" w:hAnsi="Arial" w:cs="Arial"/>
          <w:sz w:val="28"/>
          <w:szCs w:val="28"/>
        </w:rPr>
        <w:t xml:space="preserve"> </w:t>
      </w:r>
      <w:r w:rsidR="00CB0C71">
        <w:rPr>
          <w:rFonts w:ascii="Arial" w:hAnsi="Arial" w:cs="Arial"/>
          <w:sz w:val="28"/>
          <w:szCs w:val="28"/>
        </w:rPr>
        <w:t>Shin’s</w:t>
      </w:r>
      <w:r w:rsidR="00E94BFE">
        <w:rPr>
          <w:rFonts w:ascii="Arial" w:hAnsi="Arial" w:cs="Arial"/>
          <w:sz w:val="28"/>
          <w:szCs w:val="28"/>
        </w:rPr>
        <w:t xml:space="preserve"> </w:t>
      </w:r>
      <w:r w:rsidR="00CB0C71">
        <w:rPr>
          <w:rFonts w:ascii="Arial" w:hAnsi="Arial" w:cs="Arial"/>
          <w:sz w:val="28"/>
          <w:szCs w:val="28"/>
        </w:rPr>
        <w:t>testimony and account of his experiences</w:t>
      </w:r>
      <w:r w:rsidR="00E94BFE">
        <w:rPr>
          <w:rFonts w:ascii="Arial" w:hAnsi="Arial" w:cs="Arial"/>
          <w:sz w:val="28"/>
          <w:szCs w:val="28"/>
        </w:rPr>
        <w:t xml:space="preserve"> were fake; that he was given to falsehood; and that he should return to DPRK and seek forgiveness.  Shin</w:t>
      </w:r>
      <w:r w:rsidR="00CB0C71">
        <w:rPr>
          <w:rFonts w:ascii="Arial" w:hAnsi="Arial" w:cs="Arial"/>
          <w:sz w:val="28"/>
          <w:szCs w:val="28"/>
        </w:rPr>
        <w:t xml:space="preserve"> subsequently</w:t>
      </w:r>
      <w:r w:rsidR="00E94BFE">
        <w:rPr>
          <w:rFonts w:ascii="Arial" w:hAnsi="Arial" w:cs="Arial"/>
          <w:sz w:val="28"/>
          <w:szCs w:val="28"/>
        </w:rPr>
        <w:t xml:space="preserve"> acknowledged that parts of his story in the book (and hence</w:t>
      </w:r>
      <w:r w:rsidR="00CB0C71">
        <w:rPr>
          <w:rFonts w:ascii="Arial" w:hAnsi="Arial" w:cs="Arial"/>
          <w:sz w:val="28"/>
          <w:szCs w:val="28"/>
        </w:rPr>
        <w:t xml:space="preserve"> of his</w:t>
      </w:r>
      <w:r w:rsidR="00E94BFE">
        <w:rPr>
          <w:rFonts w:ascii="Arial" w:hAnsi="Arial" w:cs="Arial"/>
          <w:sz w:val="28"/>
          <w:szCs w:val="28"/>
        </w:rPr>
        <w:t xml:space="preserve"> testimony </w:t>
      </w:r>
      <w:r w:rsidR="00CB0C71">
        <w:rPr>
          <w:rFonts w:ascii="Arial" w:hAnsi="Arial" w:cs="Arial"/>
          <w:sz w:val="28"/>
          <w:szCs w:val="28"/>
        </w:rPr>
        <w:t>to like effect before</w:t>
      </w:r>
      <w:r w:rsidR="00E94BFE">
        <w:rPr>
          <w:rFonts w:ascii="Arial" w:hAnsi="Arial" w:cs="Arial"/>
          <w:sz w:val="28"/>
          <w:szCs w:val="28"/>
        </w:rPr>
        <w:t xml:space="preserve"> the COI) were not</w:t>
      </w:r>
      <w:r w:rsidR="00CB0C71">
        <w:rPr>
          <w:rFonts w:ascii="Arial" w:hAnsi="Arial" w:cs="Arial"/>
          <w:sz w:val="28"/>
          <w:szCs w:val="28"/>
        </w:rPr>
        <w:t xml:space="preserve"> factually</w:t>
      </w:r>
      <w:r w:rsidR="00E94BFE">
        <w:rPr>
          <w:rFonts w:ascii="Arial" w:hAnsi="Arial" w:cs="Arial"/>
          <w:sz w:val="28"/>
          <w:szCs w:val="28"/>
        </w:rPr>
        <w:t xml:space="preserve"> correct, including</w:t>
      </w:r>
      <w:r w:rsidR="00CB0C71">
        <w:rPr>
          <w:rFonts w:ascii="Arial" w:hAnsi="Arial" w:cs="Arial"/>
          <w:sz w:val="28"/>
          <w:szCs w:val="28"/>
        </w:rPr>
        <w:t xml:space="preserve"> in</w:t>
      </w:r>
      <w:r w:rsidR="00E94BFE">
        <w:rPr>
          <w:rFonts w:ascii="Arial" w:hAnsi="Arial" w:cs="Arial"/>
          <w:sz w:val="28"/>
          <w:szCs w:val="28"/>
        </w:rPr>
        <w:t xml:space="preserve"> relation to</w:t>
      </w:r>
      <w:r w:rsidR="00CB0C71">
        <w:rPr>
          <w:rFonts w:ascii="Arial" w:hAnsi="Arial" w:cs="Arial"/>
          <w:sz w:val="28"/>
          <w:szCs w:val="28"/>
        </w:rPr>
        <w:t xml:space="preserve"> his</w:t>
      </w:r>
      <w:r w:rsidR="00E94BFE">
        <w:rPr>
          <w:rFonts w:ascii="Arial" w:hAnsi="Arial" w:cs="Arial"/>
          <w:sz w:val="28"/>
          <w:szCs w:val="28"/>
        </w:rPr>
        <w:t xml:space="preserve"> being</w:t>
      </w:r>
      <w:r w:rsidR="00CB0C71">
        <w:rPr>
          <w:rFonts w:ascii="Arial" w:hAnsi="Arial" w:cs="Arial"/>
          <w:sz w:val="28"/>
          <w:szCs w:val="28"/>
        </w:rPr>
        <w:t xml:space="preserve"> detained</w:t>
      </w:r>
      <w:r w:rsidR="00E94BFE">
        <w:rPr>
          <w:rFonts w:ascii="Arial" w:hAnsi="Arial" w:cs="Arial"/>
          <w:sz w:val="28"/>
          <w:szCs w:val="28"/>
        </w:rPr>
        <w:t xml:space="preserve"> in Camp 14 and the age at which he was tortured</w:t>
      </w:r>
      <w:r w:rsidR="00CB0C71">
        <w:rPr>
          <w:rFonts w:ascii="Arial" w:hAnsi="Arial" w:cs="Arial"/>
          <w:sz w:val="28"/>
          <w:szCs w:val="28"/>
        </w:rPr>
        <w:t xml:space="preserve"> and </w:t>
      </w:r>
      <w:r w:rsidR="009A409C">
        <w:rPr>
          <w:rFonts w:ascii="Arial" w:hAnsi="Arial" w:cs="Arial"/>
          <w:sz w:val="28"/>
          <w:szCs w:val="28"/>
        </w:rPr>
        <w:t xml:space="preserve">the </w:t>
      </w:r>
      <w:r w:rsidR="00CB0C71">
        <w:rPr>
          <w:rFonts w:ascii="Arial" w:hAnsi="Arial" w:cs="Arial"/>
          <w:sz w:val="28"/>
          <w:szCs w:val="28"/>
        </w:rPr>
        <w:t>alleged circumstances by which he had claimed that he escaped</w:t>
      </w:r>
      <w:r w:rsidR="00E94BFE">
        <w:rPr>
          <w:rFonts w:ascii="Arial" w:hAnsi="Arial" w:cs="Arial"/>
          <w:sz w:val="28"/>
          <w:szCs w:val="28"/>
        </w:rPr>
        <w:t>.  Three other witnesses</w:t>
      </w:r>
      <w:r w:rsidR="00CB0C71">
        <w:rPr>
          <w:rFonts w:ascii="Arial" w:hAnsi="Arial" w:cs="Arial"/>
          <w:sz w:val="28"/>
          <w:szCs w:val="28"/>
        </w:rPr>
        <w:t xml:space="preserve"> have been</w:t>
      </w:r>
      <w:r w:rsidR="00E94BFE">
        <w:rPr>
          <w:rFonts w:ascii="Arial" w:hAnsi="Arial" w:cs="Arial"/>
          <w:sz w:val="28"/>
          <w:szCs w:val="28"/>
        </w:rPr>
        <w:t xml:space="preserve"> </w:t>
      </w:r>
      <w:r w:rsidR="00E94BFE">
        <w:rPr>
          <w:rFonts w:ascii="Arial" w:hAnsi="Arial" w:cs="Arial"/>
          <w:sz w:val="28"/>
          <w:szCs w:val="28"/>
        </w:rPr>
        <w:lastRenderedPageBreak/>
        <w:t>identified</w:t>
      </w:r>
      <w:r w:rsidR="002B19A4">
        <w:rPr>
          <w:rFonts w:ascii="Arial" w:hAnsi="Arial" w:cs="Arial"/>
          <w:sz w:val="28"/>
          <w:szCs w:val="28"/>
        </w:rPr>
        <w:t xml:space="preserve"> by DPRK</w:t>
      </w:r>
      <w:r w:rsidR="00E94BFE">
        <w:rPr>
          <w:rFonts w:ascii="Arial" w:hAnsi="Arial" w:cs="Arial"/>
          <w:sz w:val="28"/>
          <w:szCs w:val="28"/>
        </w:rPr>
        <w:t xml:space="preserve"> </w:t>
      </w:r>
      <w:r w:rsidR="009A409C">
        <w:rPr>
          <w:rFonts w:ascii="Arial" w:hAnsi="Arial" w:cs="Arial"/>
          <w:sz w:val="28"/>
          <w:szCs w:val="28"/>
        </w:rPr>
        <w:t>who</w:t>
      </w:r>
      <w:r w:rsidR="00CB0C71">
        <w:rPr>
          <w:rFonts w:ascii="Arial" w:hAnsi="Arial" w:cs="Arial"/>
          <w:sz w:val="28"/>
          <w:szCs w:val="28"/>
        </w:rPr>
        <w:t xml:space="preserve"> are</w:t>
      </w:r>
      <w:r w:rsidR="00E94BFE">
        <w:rPr>
          <w:rFonts w:ascii="Arial" w:hAnsi="Arial" w:cs="Arial"/>
          <w:sz w:val="28"/>
          <w:szCs w:val="28"/>
        </w:rPr>
        <w:t xml:space="preserve"> claimed</w:t>
      </w:r>
      <w:r w:rsidR="00CB0C71">
        <w:rPr>
          <w:rFonts w:ascii="Arial" w:hAnsi="Arial" w:cs="Arial"/>
          <w:sz w:val="28"/>
          <w:szCs w:val="28"/>
        </w:rPr>
        <w:t xml:space="preserve"> to</w:t>
      </w:r>
      <w:r w:rsidR="00E94BFE">
        <w:rPr>
          <w:rFonts w:ascii="Arial" w:hAnsi="Arial" w:cs="Arial"/>
          <w:sz w:val="28"/>
          <w:szCs w:val="28"/>
        </w:rPr>
        <w:t xml:space="preserve"> have made false claims against DPRK.  However, Shin is the only one of these </w:t>
      </w:r>
      <w:r w:rsidR="009A409C">
        <w:rPr>
          <w:rFonts w:ascii="Arial" w:hAnsi="Arial" w:cs="Arial"/>
          <w:sz w:val="28"/>
          <w:szCs w:val="28"/>
        </w:rPr>
        <w:t xml:space="preserve">three </w:t>
      </w:r>
      <w:r w:rsidR="00E94BFE">
        <w:rPr>
          <w:rFonts w:ascii="Arial" w:hAnsi="Arial" w:cs="Arial"/>
          <w:sz w:val="28"/>
          <w:szCs w:val="28"/>
        </w:rPr>
        <w:t>who gave evidence to the COI</w:t>
      </w:r>
      <w:r w:rsidR="00CB0C71">
        <w:rPr>
          <w:rFonts w:ascii="Arial" w:hAnsi="Arial" w:cs="Arial"/>
          <w:sz w:val="28"/>
          <w:szCs w:val="28"/>
        </w:rPr>
        <w:t xml:space="preserve"> in its</w:t>
      </w:r>
      <w:r w:rsidR="00E94BFE">
        <w:rPr>
          <w:rFonts w:ascii="Arial" w:hAnsi="Arial" w:cs="Arial"/>
          <w:sz w:val="28"/>
          <w:szCs w:val="28"/>
        </w:rPr>
        <w:t xml:space="preserve"> public hearings.  </w:t>
      </w:r>
    </w:p>
    <w:p w14:paraId="64C2C0C4" w14:textId="77777777" w:rsidR="00CB0C71" w:rsidRDefault="00CB0C71" w:rsidP="00E94BFE">
      <w:pPr>
        <w:spacing w:line="360" w:lineRule="auto"/>
        <w:jc w:val="both"/>
        <w:rPr>
          <w:rFonts w:ascii="Arial" w:hAnsi="Arial" w:cs="Arial"/>
          <w:sz w:val="28"/>
          <w:szCs w:val="28"/>
        </w:rPr>
      </w:pPr>
    </w:p>
    <w:p w14:paraId="3EA442EB" w14:textId="650388CC" w:rsidR="00CB0C71" w:rsidRDefault="00CB0C71" w:rsidP="00E94BFE">
      <w:pPr>
        <w:spacing w:line="360" w:lineRule="auto"/>
        <w:jc w:val="both"/>
        <w:rPr>
          <w:rFonts w:ascii="Arial" w:hAnsi="Arial" w:cs="Arial"/>
          <w:sz w:val="28"/>
          <w:szCs w:val="28"/>
        </w:rPr>
      </w:pPr>
      <w:r>
        <w:rPr>
          <w:rFonts w:ascii="Arial" w:hAnsi="Arial" w:cs="Arial"/>
          <w:sz w:val="28"/>
          <w:szCs w:val="28"/>
        </w:rPr>
        <w:t>The question</w:t>
      </w:r>
      <w:r w:rsidR="00E94BFE">
        <w:rPr>
          <w:rFonts w:ascii="Arial" w:hAnsi="Arial" w:cs="Arial"/>
          <w:sz w:val="28"/>
          <w:szCs w:val="28"/>
        </w:rPr>
        <w:t xml:space="preserve"> becomes to what extent the entire report of the COI, its conclusions and recommendations, are damaged</w:t>
      </w:r>
      <w:r w:rsidR="002B19A4">
        <w:rPr>
          <w:rFonts w:ascii="Arial" w:hAnsi="Arial" w:cs="Arial"/>
          <w:sz w:val="28"/>
          <w:szCs w:val="28"/>
        </w:rPr>
        <w:t xml:space="preserve"> or undermined</w:t>
      </w:r>
      <w:r w:rsidR="00E94BFE">
        <w:rPr>
          <w:rFonts w:ascii="Arial" w:hAnsi="Arial" w:cs="Arial"/>
          <w:sz w:val="28"/>
          <w:szCs w:val="28"/>
        </w:rPr>
        <w:t xml:space="preserve"> by the exaggerations acknowledged by Shin and the possibility that other witnesses</w:t>
      </w:r>
      <w:r>
        <w:rPr>
          <w:rFonts w:ascii="Arial" w:hAnsi="Arial" w:cs="Arial"/>
          <w:sz w:val="28"/>
          <w:szCs w:val="28"/>
        </w:rPr>
        <w:t>, not yet identified or acknowledged</w:t>
      </w:r>
      <w:r w:rsidR="00E94BFE">
        <w:rPr>
          <w:rFonts w:ascii="Arial" w:hAnsi="Arial" w:cs="Arial"/>
          <w:sz w:val="28"/>
          <w:szCs w:val="28"/>
        </w:rPr>
        <w:t xml:space="preserve"> may have similarly falsified or exaggerated their allegations?  Naturally enough, DPRK has asserted that the entire COI report </w:t>
      </w:r>
      <w:r>
        <w:rPr>
          <w:rFonts w:ascii="Arial" w:hAnsi="Arial" w:cs="Arial"/>
          <w:sz w:val="28"/>
          <w:szCs w:val="28"/>
        </w:rPr>
        <w:t xml:space="preserve">on human rights in their country </w:t>
      </w:r>
      <w:r w:rsidR="00E94BFE">
        <w:rPr>
          <w:rFonts w:ascii="Arial" w:hAnsi="Arial" w:cs="Arial"/>
          <w:sz w:val="28"/>
          <w:szCs w:val="28"/>
        </w:rPr>
        <w:t xml:space="preserve">collapses.  It has called for the United Nations to </w:t>
      </w:r>
      <w:r>
        <w:rPr>
          <w:rFonts w:ascii="Arial" w:hAnsi="Arial" w:cs="Arial"/>
          <w:sz w:val="28"/>
          <w:szCs w:val="28"/>
        </w:rPr>
        <w:t>make</w:t>
      </w:r>
      <w:r w:rsidR="00E94BFE">
        <w:rPr>
          <w:rFonts w:ascii="Arial" w:hAnsi="Arial" w:cs="Arial"/>
          <w:sz w:val="28"/>
          <w:szCs w:val="28"/>
        </w:rPr>
        <w:t xml:space="preserve"> an apology to DPRK and to rescind </w:t>
      </w:r>
      <w:r w:rsidR="002B19A4">
        <w:rPr>
          <w:rFonts w:ascii="Arial" w:hAnsi="Arial" w:cs="Arial"/>
          <w:sz w:val="28"/>
          <w:szCs w:val="28"/>
        </w:rPr>
        <w:t xml:space="preserve">its </w:t>
      </w:r>
      <w:r w:rsidR="00E94BFE">
        <w:rPr>
          <w:rFonts w:ascii="Arial" w:hAnsi="Arial" w:cs="Arial"/>
          <w:sz w:val="28"/>
          <w:szCs w:val="28"/>
        </w:rPr>
        <w:t xml:space="preserve">condemnatory resolutions.  </w:t>
      </w:r>
    </w:p>
    <w:p w14:paraId="4E55D8B6" w14:textId="77777777" w:rsidR="00CB0C71" w:rsidRDefault="00CB0C71" w:rsidP="00E94BFE">
      <w:pPr>
        <w:spacing w:line="360" w:lineRule="auto"/>
        <w:jc w:val="both"/>
        <w:rPr>
          <w:rFonts w:ascii="Arial" w:hAnsi="Arial" w:cs="Arial"/>
          <w:sz w:val="28"/>
          <w:szCs w:val="28"/>
        </w:rPr>
      </w:pPr>
    </w:p>
    <w:p w14:paraId="0671EBC1" w14:textId="54F54925" w:rsidR="009974E5" w:rsidRDefault="00E94BFE" w:rsidP="00E94BFE">
      <w:pPr>
        <w:spacing w:line="360" w:lineRule="auto"/>
        <w:jc w:val="both"/>
        <w:rPr>
          <w:rFonts w:ascii="Arial" w:hAnsi="Arial" w:cs="Arial"/>
          <w:sz w:val="28"/>
          <w:szCs w:val="28"/>
        </w:rPr>
      </w:pPr>
      <w:r>
        <w:rPr>
          <w:rFonts w:ascii="Arial" w:hAnsi="Arial" w:cs="Arial"/>
          <w:sz w:val="28"/>
          <w:szCs w:val="28"/>
        </w:rPr>
        <w:t>Because Shin had been prominent in international media reports th</w:t>
      </w:r>
      <w:r w:rsidR="009974E5">
        <w:rPr>
          <w:rFonts w:ascii="Arial" w:hAnsi="Arial" w:cs="Arial"/>
          <w:sz w:val="28"/>
          <w:szCs w:val="28"/>
        </w:rPr>
        <w:t>at pre</w:t>
      </w:r>
      <w:r>
        <w:rPr>
          <w:rFonts w:ascii="Arial" w:hAnsi="Arial" w:cs="Arial"/>
          <w:sz w:val="28"/>
          <w:szCs w:val="28"/>
        </w:rPr>
        <w:t>ceded</w:t>
      </w:r>
      <w:r w:rsidR="00CB0C71">
        <w:rPr>
          <w:rFonts w:ascii="Arial" w:hAnsi="Arial" w:cs="Arial"/>
          <w:sz w:val="28"/>
          <w:szCs w:val="28"/>
        </w:rPr>
        <w:t>,</w:t>
      </w:r>
      <w:r>
        <w:rPr>
          <w:rFonts w:ascii="Arial" w:hAnsi="Arial" w:cs="Arial"/>
          <w:sz w:val="28"/>
          <w:szCs w:val="28"/>
        </w:rPr>
        <w:t xml:space="preserve"> and acc</w:t>
      </w:r>
      <w:r w:rsidR="009974E5">
        <w:rPr>
          <w:rFonts w:ascii="Arial" w:hAnsi="Arial" w:cs="Arial"/>
          <w:sz w:val="28"/>
          <w:szCs w:val="28"/>
        </w:rPr>
        <w:t>ompanied</w:t>
      </w:r>
      <w:r w:rsidR="00CB0C71">
        <w:rPr>
          <w:rFonts w:ascii="Arial" w:hAnsi="Arial" w:cs="Arial"/>
          <w:sz w:val="28"/>
          <w:szCs w:val="28"/>
        </w:rPr>
        <w:t>,</w:t>
      </w:r>
      <w:r w:rsidR="009974E5">
        <w:rPr>
          <w:rFonts w:ascii="Arial" w:hAnsi="Arial" w:cs="Arial"/>
          <w:sz w:val="28"/>
          <w:szCs w:val="28"/>
        </w:rPr>
        <w:t xml:space="preserve"> the COI hearings, he was called first amongst the</w:t>
      </w:r>
      <w:r w:rsidR="009A409C">
        <w:rPr>
          <w:rFonts w:ascii="Arial" w:hAnsi="Arial" w:cs="Arial"/>
          <w:sz w:val="28"/>
          <w:szCs w:val="28"/>
        </w:rPr>
        <w:t xml:space="preserve"> Korean</w:t>
      </w:r>
      <w:r w:rsidR="009974E5">
        <w:rPr>
          <w:rFonts w:ascii="Arial" w:hAnsi="Arial" w:cs="Arial"/>
          <w:sz w:val="28"/>
          <w:szCs w:val="28"/>
        </w:rPr>
        <w:t xml:space="preserve"> witnesses who gave evidence</w:t>
      </w:r>
      <w:r w:rsidR="00CB0C71">
        <w:rPr>
          <w:rFonts w:ascii="Arial" w:hAnsi="Arial" w:cs="Arial"/>
          <w:sz w:val="28"/>
          <w:szCs w:val="28"/>
        </w:rPr>
        <w:t xml:space="preserve"> to the COI</w:t>
      </w:r>
      <w:r w:rsidR="009974E5">
        <w:rPr>
          <w:rFonts w:ascii="Arial" w:hAnsi="Arial" w:cs="Arial"/>
          <w:sz w:val="28"/>
          <w:szCs w:val="28"/>
        </w:rPr>
        <w:t xml:space="preserve"> in Seoul.  Some support for the DPRK criticisms </w:t>
      </w:r>
      <w:r w:rsidR="00CB0C71">
        <w:rPr>
          <w:rFonts w:ascii="Arial" w:hAnsi="Arial" w:cs="Arial"/>
          <w:sz w:val="28"/>
          <w:szCs w:val="28"/>
        </w:rPr>
        <w:t>has been</w:t>
      </w:r>
      <w:r w:rsidR="009974E5">
        <w:rPr>
          <w:rFonts w:ascii="Arial" w:hAnsi="Arial" w:cs="Arial"/>
          <w:sz w:val="28"/>
          <w:szCs w:val="28"/>
        </w:rPr>
        <w:t xml:space="preserve"> voiced by an assistant professor of political science in Singapore (Jiyoung Song) in an article “Unreliable Witnesses” published in August 2015.</w:t>
      </w:r>
      <w:r w:rsidR="00CB0C71" w:rsidRPr="00CB0C71">
        <w:rPr>
          <w:rFonts w:ascii="Arial" w:hAnsi="Arial" w:cs="Arial"/>
          <w:sz w:val="28"/>
          <w:szCs w:val="28"/>
          <w:vertAlign w:val="superscript"/>
        </w:rPr>
        <w:t xml:space="preserve"> </w:t>
      </w:r>
      <w:r w:rsidR="00CB0C71" w:rsidRPr="00CB0C71">
        <w:rPr>
          <w:rFonts w:ascii="Arial" w:hAnsi="Arial" w:cs="Arial"/>
          <w:sz w:val="28"/>
          <w:szCs w:val="28"/>
          <w:vertAlign w:val="superscript"/>
        </w:rPr>
        <w:footnoteReference w:id="16"/>
      </w:r>
      <w:r w:rsidR="009974E5">
        <w:rPr>
          <w:rFonts w:ascii="Arial" w:hAnsi="Arial" w:cs="Arial"/>
          <w:sz w:val="28"/>
          <w:szCs w:val="28"/>
        </w:rPr>
        <w:t xml:space="preserve">  In her article, Ms Song ref</w:t>
      </w:r>
      <w:r w:rsidR="00CB0C71">
        <w:rPr>
          <w:rFonts w:ascii="Arial" w:hAnsi="Arial" w:cs="Arial"/>
          <w:sz w:val="28"/>
          <w:szCs w:val="28"/>
        </w:rPr>
        <w:t>erred to a practic</w:t>
      </w:r>
      <w:r w:rsidR="009974E5">
        <w:rPr>
          <w:rFonts w:ascii="Arial" w:hAnsi="Arial" w:cs="Arial"/>
          <w:sz w:val="28"/>
          <w:szCs w:val="28"/>
        </w:rPr>
        <w:t xml:space="preserve">e of paying North Korean refugees for interviews on human rights experiences </w:t>
      </w:r>
      <w:r w:rsidR="00CB0C71">
        <w:rPr>
          <w:rFonts w:ascii="Arial" w:hAnsi="Arial" w:cs="Arial"/>
          <w:sz w:val="28"/>
          <w:szCs w:val="28"/>
        </w:rPr>
        <w:t>(fees up to $US200/hour</w:t>
      </w:r>
      <w:r w:rsidR="002B19A4">
        <w:rPr>
          <w:rFonts w:ascii="Arial" w:hAnsi="Arial" w:cs="Arial"/>
          <w:sz w:val="28"/>
          <w:szCs w:val="28"/>
        </w:rPr>
        <w:t xml:space="preserve"> were mentioned</w:t>
      </w:r>
      <w:r w:rsidR="00CB0C71">
        <w:rPr>
          <w:rFonts w:ascii="Arial" w:hAnsi="Arial" w:cs="Arial"/>
          <w:sz w:val="28"/>
          <w:szCs w:val="28"/>
        </w:rPr>
        <w:t>);</w:t>
      </w:r>
      <w:r w:rsidR="009974E5">
        <w:rPr>
          <w:rFonts w:ascii="Arial" w:hAnsi="Arial" w:cs="Arial"/>
          <w:sz w:val="28"/>
          <w:szCs w:val="28"/>
        </w:rPr>
        <w:t xml:space="preserve"> receiving second hand accounts without adequately checking</w:t>
      </w:r>
      <w:r w:rsidR="009A409C">
        <w:rPr>
          <w:rFonts w:ascii="Arial" w:hAnsi="Arial" w:cs="Arial"/>
          <w:sz w:val="28"/>
          <w:szCs w:val="28"/>
        </w:rPr>
        <w:t xml:space="preserve"> them</w:t>
      </w:r>
      <w:r w:rsidR="009974E5">
        <w:rPr>
          <w:rFonts w:ascii="Arial" w:hAnsi="Arial" w:cs="Arial"/>
          <w:sz w:val="28"/>
          <w:szCs w:val="28"/>
        </w:rPr>
        <w:t xml:space="preserve"> for reliability; allowing witnesses to change</w:t>
      </w:r>
      <w:r w:rsidR="009A409C">
        <w:rPr>
          <w:rFonts w:ascii="Arial" w:hAnsi="Arial" w:cs="Arial"/>
          <w:sz w:val="28"/>
          <w:szCs w:val="28"/>
        </w:rPr>
        <w:t xml:space="preserve"> their given</w:t>
      </w:r>
      <w:r w:rsidR="009974E5">
        <w:rPr>
          <w:rFonts w:ascii="Arial" w:hAnsi="Arial" w:cs="Arial"/>
          <w:sz w:val="28"/>
          <w:szCs w:val="28"/>
        </w:rPr>
        <w:t xml:space="preserve"> names allegedly to protect their families from retaliation</w:t>
      </w:r>
      <w:r w:rsidR="00CB0C71">
        <w:rPr>
          <w:rFonts w:ascii="Arial" w:hAnsi="Arial" w:cs="Arial"/>
          <w:sz w:val="28"/>
          <w:szCs w:val="28"/>
        </w:rPr>
        <w:t xml:space="preserve"> but making </w:t>
      </w:r>
      <w:r w:rsidR="002B19A4">
        <w:rPr>
          <w:rFonts w:ascii="Arial" w:hAnsi="Arial" w:cs="Arial"/>
          <w:sz w:val="28"/>
          <w:szCs w:val="28"/>
        </w:rPr>
        <w:t xml:space="preserve">objective </w:t>
      </w:r>
      <w:r w:rsidR="00CB0C71">
        <w:rPr>
          <w:rFonts w:ascii="Arial" w:hAnsi="Arial" w:cs="Arial"/>
          <w:sz w:val="28"/>
          <w:szCs w:val="28"/>
        </w:rPr>
        <w:t>scrutiny more difficult</w:t>
      </w:r>
      <w:r w:rsidR="009974E5">
        <w:rPr>
          <w:rFonts w:ascii="Arial" w:hAnsi="Arial" w:cs="Arial"/>
          <w:sz w:val="28"/>
          <w:szCs w:val="28"/>
        </w:rPr>
        <w:t>; using “older white male interviewers” who are not</w:t>
      </w:r>
      <w:r w:rsidR="00CB0C71">
        <w:rPr>
          <w:rFonts w:ascii="Arial" w:hAnsi="Arial" w:cs="Arial"/>
          <w:sz w:val="28"/>
          <w:szCs w:val="28"/>
        </w:rPr>
        <w:t xml:space="preserve"> native</w:t>
      </w:r>
      <w:r w:rsidR="009974E5">
        <w:rPr>
          <w:rFonts w:ascii="Arial" w:hAnsi="Arial" w:cs="Arial"/>
          <w:sz w:val="28"/>
          <w:szCs w:val="28"/>
        </w:rPr>
        <w:t xml:space="preserve"> Korean speakers and who cannot detect nuances </w:t>
      </w:r>
      <w:r w:rsidR="00CB0C71">
        <w:rPr>
          <w:rFonts w:ascii="Arial" w:hAnsi="Arial" w:cs="Arial"/>
          <w:sz w:val="28"/>
          <w:szCs w:val="28"/>
        </w:rPr>
        <w:t>in witness evidence</w:t>
      </w:r>
      <w:r w:rsidR="009974E5">
        <w:rPr>
          <w:rFonts w:ascii="Arial" w:hAnsi="Arial" w:cs="Arial"/>
          <w:sz w:val="28"/>
          <w:szCs w:val="28"/>
        </w:rPr>
        <w:t>; receiving testimony thr</w:t>
      </w:r>
      <w:r w:rsidR="002B19A4">
        <w:rPr>
          <w:rFonts w:ascii="Arial" w:hAnsi="Arial" w:cs="Arial"/>
          <w:sz w:val="28"/>
          <w:szCs w:val="28"/>
        </w:rPr>
        <w:t xml:space="preserve">ough interpreters and paying </w:t>
      </w:r>
      <w:r w:rsidR="002B19A4">
        <w:rPr>
          <w:rFonts w:ascii="Arial" w:hAnsi="Arial" w:cs="Arial"/>
          <w:sz w:val="28"/>
          <w:szCs w:val="28"/>
        </w:rPr>
        <w:lastRenderedPageBreak/>
        <w:t>in</w:t>
      </w:r>
      <w:r w:rsidR="009974E5">
        <w:rPr>
          <w:rFonts w:ascii="Arial" w:hAnsi="Arial" w:cs="Arial"/>
          <w:sz w:val="28"/>
          <w:szCs w:val="28"/>
        </w:rPr>
        <w:t>sufficient attention to gender, age and social status considerations; and failing adequately to follow-up inconsistencies</w:t>
      </w:r>
      <w:r w:rsidR="009A409C">
        <w:rPr>
          <w:rFonts w:ascii="Arial" w:hAnsi="Arial" w:cs="Arial"/>
          <w:sz w:val="28"/>
          <w:szCs w:val="28"/>
        </w:rPr>
        <w:t>,</w:t>
      </w:r>
      <w:r w:rsidR="009974E5">
        <w:rPr>
          <w:rFonts w:ascii="Arial" w:hAnsi="Arial" w:cs="Arial"/>
          <w:sz w:val="28"/>
          <w:szCs w:val="28"/>
        </w:rPr>
        <w:t xml:space="preserve"> possibly deriving from perceived self-advantage. </w:t>
      </w:r>
    </w:p>
    <w:p w14:paraId="235454FB" w14:textId="77777777" w:rsidR="009974E5" w:rsidRDefault="009974E5" w:rsidP="00E94BFE">
      <w:pPr>
        <w:spacing w:line="360" w:lineRule="auto"/>
        <w:jc w:val="both"/>
        <w:rPr>
          <w:rFonts w:ascii="Arial" w:hAnsi="Arial" w:cs="Arial"/>
          <w:sz w:val="28"/>
          <w:szCs w:val="28"/>
        </w:rPr>
      </w:pPr>
    </w:p>
    <w:p w14:paraId="18B3ADBD" w14:textId="4E1B5F43" w:rsidR="009974E5" w:rsidRDefault="009974E5" w:rsidP="00E94BFE">
      <w:pPr>
        <w:spacing w:line="360" w:lineRule="auto"/>
        <w:jc w:val="both"/>
        <w:rPr>
          <w:rFonts w:ascii="Arial" w:hAnsi="Arial" w:cs="Arial"/>
          <w:sz w:val="28"/>
          <w:szCs w:val="28"/>
        </w:rPr>
      </w:pPr>
      <w:r>
        <w:rPr>
          <w:rFonts w:ascii="Arial" w:hAnsi="Arial" w:cs="Arial"/>
          <w:sz w:val="28"/>
          <w:szCs w:val="28"/>
        </w:rPr>
        <w:t>Ms Song concludes:</w:t>
      </w:r>
      <w:r w:rsidR="00CB0C71" w:rsidRPr="00CB0C71">
        <w:rPr>
          <w:rFonts w:ascii="Arial" w:hAnsi="Arial" w:cs="Arial"/>
          <w:sz w:val="28"/>
          <w:szCs w:val="28"/>
          <w:vertAlign w:val="superscript"/>
        </w:rPr>
        <w:t xml:space="preserve"> </w:t>
      </w:r>
      <w:r w:rsidR="00CB0C71" w:rsidRPr="00CB0C71">
        <w:rPr>
          <w:rFonts w:ascii="Arial" w:hAnsi="Arial" w:cs="Arial"/>
          <w:sz w:val="28"/>
          <w:szCs w:val="28"/>
          <w:vertAlign w:val="superscript"/>
        </w:rPr>
        <w:footnoteReference w:id="17"/>
      </w:r>
    </w:p>
    <w:p w14:paraId="333DDE9F" w14:textId="77777777" w:rsidR="009974E5" w:rsidRDefault="009974E5" w:rsidP="00E94BFE">
      <w:pPr>
        <w:spacing w:line="360" w:lineRule="auto"/>
        <w:jc w:val="both"/>
        <w:rPr>
          <w:rFonts w:ascii="Arial" w:hAnsi="Arial" w:cs="Arial"/>
          <w:sz w:val="28"/>
          <w:szCs w:val="28"/>
        </w:rPr>
      </w:pPr>
    </w:p>
    <w:p w14:paraId="758616F3" w14:textId="6B56327E" w:rsidR="00E94BFE" w:rsidRDefault="009974E5" w:rsidP="009974E5">
      <w:pPr>
        <w:spacing w:line="360" w:lineRule="auto"/>
        <w:ind w:left="720"/>
        <w:jc w:val="both"/>
        <w:rPr>
          <w:rFonts w:ascii="Arial" w:hAnsi="Arial" w:cs="Arial"/>
          <w:sz w:val="28"/>
          <w:szCs w:val="28"/>
        </w:rPr>
      </w:pPr>
      <w:r>
        <w:rPr>
          <w:sz w:val="28"/>
          <w:szCs w:val="28"/>
        </w:rPr>
        <w:t xml:space="preserve">“In my 16 years of studying North Korean refugees, I have experienced numerous inconsistent stories, intentional omissions and lies.  I have also witnessed some involving fraud and other illicit activities.  In one case the breach of trust was so significant that I could not continue research.  It affected my professional capacity to analyse and deliver credible stories in an ethical manner but also had a deep impact on personal trust I invested in the human subjects I sincerely cared about.”   </w:t>
      </w:r>
      <w:r w:rsidR="00E94BFE">
        <w:rPr>
          <w:rFonts w:ascii="Arial" w:hAnsi="Arial" w:cs="Arial"/>
          <w:sz w:val="28"/>
          <w:szCs w:val="28"/>
        </w:rPr>
        <w:t xml:space="preserve"> </w:t>
      </w:r>
    </w:p>
    <w:p w14:paraId="64DC07B4" w14:textId="77777777" w:rsidR="009974E5" w:rsidRDefault="009974E5" w:rsidP="009974E5">
      <w:pPr>
        <w:spacing w:line="360" w:lineRule="auto"/>
        <w:ind w:left="720"/>
        <w:jc w:val="both"/>
        <w:rPr>
          <w:rFonts w:ascii="Arial" w:hAnsi="Arial" w:cs="Arial"/>
          <w:sz w:val="28"/>
          <w:szCs w:val="28"/>
        </w:rPr>
      </w:pPr>
    </w:p>
    <w:p w14:paraId="50A99908" w14:textId="28267FB6" w:rsidR="00A33506" w:rsidRDefault="009974E5" w:rsidP="009974E5">
      <w:pPr>
        <w:spacing w:line="360" w:lineRule="auto"/>
        <w:jc w:val="both"/>
        <w:rPr>
          <w:rFonts w:ascii="Arial" w:hAnsi="Arial" w:cs="Arial"/>
          <w:sz w:val="28"/>
          <w:szCs w:val="28"/>
        </w:rPr>
      </w:pPr>
      <w:r>
        <w:rPr>
          <w:rFonts w:ascii="Arial" w:hAnsi="Arial" w:cs="Arial"/>
          <w:sz w:val="28"/>
          <w:szCs w:val="28"/>
        </w:rPr>
        <w:t>Any person who has been involved over time in the</w:t>
      </w:r>
      <w:r w:rsidR="002B19A4">
        <w:rPr>
          <w:rFonts w:ascii="Arial" w:hAnsi="Arial" w:cs="Arial"/>
          <w:sz w:val="28"/>
          <w:szCs w:val="28"/>
        </w:rPr>
        <w:t xml:space="preserve"> gathering </w:t>
      </w:r>
      <w:r w:rsidR="00CB0C71">
        <w:rPr>
          <w:rFonts w:ascii="Arial" w:hAnsi="Arial" w:cs="Arial"/>
          <w:sz w:val="28"/>
          <w:szCs w:val="28"/>
        </w:rPr>
        <w:t>and</w:t>
      </w:r>
      <w:r>
        <w:rPr>
          <w:rFonts w:ascii="Arial" w:hAnsi="Arial" w:cs="Arial"/>
          <w:sz w:val="28"/>
          <w:szCs w:val="28"/>
        </w:rPr>
        <w:t xml:space="preserve"> examination of testimony, offered in connection with serious formal proceedings designed to illicit the truth about significant and potentially disturbing </w:t>
      </w:r>
      <w:r w:rsidR="00CB0C71">
        <w:rPr>
          <w:rFonts w:ascii="Arial" w:hAnsi="Arial" w:cs="Arial"/>
          <w:sz w:val="28"/>
          <w:szCs w:val="28"/>
        </w:rPr>
        <w:t>subjects</w:t>
      </w:r>
      <w:r>
        <w:rPr>
          <w:rFonts w:ascii="Arial" w:hAnsi="Arial" w:cs="Arial"/>
          <w:sz w:val="28"/>
          <w:szCs w:val="28"/>
        </w:rPr>
        <w:t>, knows that</w:t>
      </w:r>
      <w:r w:rsidR="00CB0C71">
        <w:rPr>
          <w:rFonts w:ascii="Arial" w:hAnsi="Arial" w:cs="Arial"/>
          <w:sz w:val="28"/>
          <w:szCs w:val="28"/>
        </w:rPr>
        <w:t xml:space="preserve"> the</w:t>
      </w:r>
      <w:r>
        <w:rPr>
          <w:rFonts w:ascii="Arial" w:hAnsi="Arial" w:cs="Arial"/>
          <w:sz w:val="28"/>
          <w:szCs w:val="28"/>
        </w:rPr>
        <w:t xml:space="preserve"> process is full of difficulty and far from perfect.  Each of the members of the COI</w:t>
      </w:r>
      <w:r w:rsidR="00CB0C71">
        <w:rPr>
          <w:rFonts w:ascii="Arial" w:hAnsi="Arial" w:cs="Arial"/>
          <w:sz w:val="28"/>
          <w:szCs w:val="28"/>
        </w:rPr>
        <w:t xml:space="preserve"> on DPRK</w:t>
      </w:r>
      <w:r>
        <w:rPr>
          <w:rFonts w:ascii="Arial" w:hAnsi="Arial" w:cs="Arial"/>
          <w:sz w:val="28"/>
          <w:szCs w:val="28"/>
        </w:rPr>
        <w:t xml:space="preserve"> had extensive experience</w:t>
      </w:r>
      <w:r w:rsidR="00CB0C71">
        <w:rPr>
          <w:rFonts w:ascii="Arial" w:hAnsi="Arial" w:cs="Arial"/>
          <w:sz w:val="28"/>
          <w:szCs w:val="28"/>
        </w:rPr>
        <w:t>,</w:t>
      </w:r>
      <w:r>
        <w:rPr>
          <w:rFonts w:ascii="Arial" w:hAnsi="Arial" w:cs="Arial"/>
          <w:sz w:val="28"/>
          <w:szCs w:val="28"/>
        </w:rPr>
        <w:t xml:space="preserve"> over many years</w:t>
      </w:r>
      <w:r w:rsidR="00CB0C71">
        <w:rPr>
          <w:rFonts w:ascii="Arial" w:hAnsi="Arial" w:cs="Arial"/>
          <w:sz w:val="28"/>
          <w:szCs w:val="28"/>
        </w:rPr>
        <w:t>,</w:t>
      </w:r>
      <w:r>
        <w:rPr>
          <w:rFonts w:ascii="Arial" w:hAnsi="Arial" w:cs="Arial"/>
          <w:sz w:val="28"/>
          <w:szCs w:val="28"/>
        </w:rPr>
        <w:t xml:space="preserve"> in receiving, scrutinising and evaluating evidence.  I did, appearing</w:t>
      </w:r>
      <w:r w:rsidR="00A33506" w:rsidRPr="00A33506">
        <w:rPr>
          <w:rFonts w:ascii="Arial" w:hAnsi="Arial" w:cs="Arial"/>
          <w:sz w:val="28"/>
          <w:szCs w:val="28"/>
        </w:rPr>
        <w:t xml:space="preserve"> as a lawyer</w:t>
      </w:r>
      <w:r w:rsidR="00A33506">
        <w:rPr>
          <w:rFonts w:ascii="Arial" w:hAnsi="Arial" w:cs="Arial"/>
          <w:sz w:val="28"/>
          <w:szCs w:val="28"/>
        </w:rPr>
        <w:t xml:space="preserve"> and advocate</w:t>
      </w:r>
      <w:r>
        <w:rPr>
          <w:rFonts w:ascii="Arial" w:hAnsi="Arial" w:cs="Arial"/>
          <w:sz w:val="28"/>
          <w:szCs w:val="28"/>
        </w:rPr>
        <w:t xml:space="preserve"> in courts over 16 years and then as a judge and inquiry commissioner in Australia over 34 years.  I had also held United Nations offices that involved similar gathering of testimony, evaluating it and expressing conclusions.</w:t>
      </w:r>
      <w:r w:rsidR="00A33506" w:rsidRPr="00A33506">
        <w:rPr>
          <w:rFonts w:ascii="Arial" w:hAnsi="Arial" w:cs="Arial"/>
          <w:sz w:val="28"/>
          <w:szCs w:val="28"/>
          <w:vertAlign w:val="superscript"/>
        </w:rPr>
        <w:t xml:space="preserve"> </w:t>
      </w:r>
      <w:r w:rsidR="00A33506" w:rsidRPr="00A33506">
        <w:rPr>
          <w:rFonts w:ascii="Arial" w:hAnsi="Arial" w:cs="Arial"/>
          <w:sz w:val="28"/>
          <w:szCs w:val="28"/>
          <w:vertAlign w:val="superscript"/>
        </w:rPr>
        <w:footnoteReference w:id="18"/>
      </w:r>
      <w:r>
        <w:rPr>
          <w:rFonts w:ascii="Arial" w:hAnsi="Arial" w:cs="Arial"/>
          <w:sz w:val="28"/>
          <w:szCs w:val="28"/>
        </w:rPr>
        <w:t xml:space="preserve">  </w:t>
      </w:r>
    </w:p>
    <w:p w14:paraId="3A99867C" w14:textId="77777777" w:rsidR="00A33506" w:rsidRDefault="00A33506" w:rsidP="009974E5">
      <w:pPr>
        <w:spacing w:line="360" w:lineRule="auto"/>
        <w:jc w:val="both"/>
        <w:rPr>
          <w:rFonts w:ascii="Arial" w:hAnsi="Arial" w:cs="Arial"/>
          <w:sz w:val="28"/>
          <w:szCs w:val="28"/>
        </w:rPr>
      </w:pPr>
    </w:p>
    <w:p w14:paraId="3DDE7ED8" w14:textId="07FC2E68" w:rsidR="00A33506" w:rsidRDefault="002B19A4" w:rsidP="009974E5">
      <w:pPr>
        <w:spacing w:line="360" w:lineRule="auto"/>
        <w:jc w:val="both"/>
        <w:rPr>
          <w:rFonts w:ascii="Arial" w:hAnsi="Arial" w:cs="Arial"/>
          <w:sz w:val="28"/>
          <w:szCs w:val="28"/>
        </w:rPr>
      </w:pPr>
      <w:r>
        <w:rPr>
          <w:rFonts w:ascii="Arial" w:hAnsi="Arial" w:cs="Arial"/>
          <w:sz w:val="28"/>
          <w:szCs w:val="28"/>
        </w:rPr>
        <w:lastRenderedPageBreak/>
        <w:t>Of course, l</w:t>
      </w:r>
      <w:r w:rsidR="009974E5">
        <w:rPr>
          <w:rFonts w:ascii="Arial" w:hAnsi="Arial" w:cs="Arial"/>
          <w:sz w:val="28"/>
          <w:szCs w:val="28"/>
        </w:rPr>
        <w:t>ong experience is not a guarantee of infallibility.  I have myself</w:t>
      </w:r>
      <w:r w:rsidR="009A409C">
        <w:rPr>
          <w:rFonts w:ascii="Arial" w:hAnsi="Arial" w:cs="Arial"/>
          <w:sz w:val="28"/>
          <w:szCs w:val="28"/>
        </w:rPr>
        <w:t xml:space="preserve"> frequently</w:t>
      </w:r>
      <w:r w:rsidR="009974E5">
        <w:rPr>
          <w:rFonts w:ascii="Arial" w:hAnsi="Arial" w:cs="Arial"/>
          <w:sz w:val="28"/>
          <w:szCs w:val="28"/>
        </w:rPr>
        <w:t xml:space="preserve"> been sceptical about the claimed capacity of judges </w:t>
      </w:r>
      <w:r w:rsidR="00A33506">
        <w:rPr>
          <w:rFonts w:ascii="Arial" w:hAnsi="Arial" w:cs="Arial"/>
          <w:sz w:val="28"/>
          <w:szCs w:val="28"/>
        </w:rPr>
        <w:t>t</w:t>
      </w:r>
      <w:r w:rsidR="009974E5">
        <w:rPr>
          <w:rFonts w:ascii="Arial" w:hAnsi="Arial" w:cs="Arial"/>
          <w:sz w:val="28"/>
          <w:szCs w:val="28"/>
        </w:rPr>
        <w:t>o have a</w:t>
      </w:r>
      <w:r>
        <w:rPr>
          <w:rFonts w:ascii="Arial" w:hAnsi="Arial" w:cs="Arial"/>
          <w:sz w:val="28"/>
          <w:szCs w:val="28"/>
        </w:rPr>
        <w:t>n</w:t>
      </w:r>
      <w:r w:rsidR="009974E5">
        <w:rPr>
          <w:rFonts w:ascii="Arial" w:hAnsi="Arial" w:cs="Arial"/>
          <w:sz w:val="28"/>
          <w:szCs w:val="28"/>
        </w:rPr>
        <w:t xml:space="preserve"> ability to </w:t>
      </w:r>
      <w:r w:rsidR="00A33506">
        <w:rPr>
          <w:rFonts w:ascii="Arial" w:hAnsi="Arial" w:cs="Arial"/>
          <w:sz w:val="28"/>
          <w:szCs w:val="28"/>
        </w:rPr>
        <w:t>differentiate</w:t>
      </w:r>
      <w:r w:rsidR="009974E5">
        <w:rPr>
          <w:rFonts w:ascii="Arial" w:hAnsi="Arial" w:cs="Arial"/>
          <w:sz w:val="28"/>
          <w:szCs w:val="28"/>
        </w:rPr>
        <w:t xml:space="preserve"> truth from falsehood with unerring accuracy</w:t>
      </w:r>
      <w:r w:rsidR="00A33506">
        <w:rPr>
          <w:rFonts w:ascii="Arial" w:hAnsi="Arial" w:cs="Arial"/>
          <w:sz w:val="28"/>
          <w:szCs w:val="28"/>
        </w:rPr>
        <w:t xml:space="preserve"> based on their impression of witnesses</w:t>
      </w:r>
      <w:r w:rsidR="009974E5">
        <w:rPr>
          <w:rFonts w:ascii="Arial" w:hAnsi="Arial" w:cs="Arial"/>
          <w:sz w:val="28"/>
          <w:szCs w:val="28"/>
        </w:rPr>
        <w:t>.  Commissioner Marzuki Darusman has likewise had long experience in the law and the courts in Indonesia as Prosecutor-General and Attorney-General of that country.  These posts</w:t>
      </w:r>
      <w:r w:rsidR="00A33506">
        <w:rPr>
          <w:rFonts w:ascii="Arial" w:hAnsi="Arial" w:cs="Arial"/>
          <w:sz w:val="28"/>
          <w:szCs w:val="28"/>
        </w:rPr>
        <w:t>, and daily legal practic</w:t>
      </w:r>
      <w:r w:rsidR="009974E5">
        <w:rPr>
          <w:rFonts w:ascii="Arial" w:hAnsi="Arial" w:cs="Arial"/>
          <w:sz w:val="28"/>
          <w:szCs w:val="28"/>
        </w:rPr>
        <w:t>e</w:t>
      </w:r>
      <w:r w:rsidR="00A33506">
        <w:rPr>
          <w:rFonts w:ascii="Arial" w:hAnsi="Arial" w:cs="Arial"/>
          <w:sz w:val="28"/>
          <w:szCs w:val="28"/>
        </w:rPr>
        <w:t>,</w:t>
      </w:r>
      <w:r w:rsidR="009974E5">
        <w:rPr>
          <w:rFonts w:ascii="Arial" w:hAnsi="Arial" w:cs="Arial"/>
          <w:sz w:val="28"/>
          <w:szCs w:val="28"/>
        </w:rPr>
        <w:t xml:space="preserve"> </w:t>
      </w:r>
      <w:r w:rsidR="009A409C">
        <w:rPr>
          <w:rFonts w:ascii="Arial" w:hAnsi="Arial" w:cs="Arial"/>
          <w:sz w:val="28"/>
          <w:szCs w:val="28"/>
        </w:rPr>
        <w:t xml:space="preserve">gave </w:t>
      </w:r>
      <w:r w:rsidR="009974E5">
        <w:rPr>
          <w:rFonts w:ascii="Arial" w:hAnsi="Arial" w:cs="Arial"/>
          <w:sz w:val="28"/>
          <w:szCs w:val="28"/>
        </w:rPr>
        <w:t>him experience similar to my own.  Commissioner Sonja Biserko</w:t>
      </w:r>
      <w:r w:rsidR="00A33506">
        <w:rPr>
          <w:rFonts w:ascii="Arial" w:hAnsi="Arial" w:cs="Arial"/>
          <w:sz w:val="28"/>
          <w:szCs w:val="28"/>
        </w:rPr>
        <w:t xml:space="preserve">, </w:t>
      </w:r>
      <w:r>
        <w:rPr>
          <w:rFonts w:ascii="Arial" w:hAnsi="Arial" w:cs="Arial"/>
          <w:sz w:val="28"/>
          <w:szCs w:val="28"/>
        </w:rPr>
        <w:t>also</w:t>
      </w:r>
      <w:r w:rsidR="009974E5">
        <w:rPr>
          <w:rFonts w:ascii="Arial" w:hAnsi="Arial" w:cs="Arial"/>
          <w:sz w:val="28"/>
          <w:szCs w:val="28"/>
        </w:rPr>
        <w:t xml:space="preserve"> had long engagement wi</w:t>
      </w:r>
      <w:r w:rsidR="00B70372">
        <w:rPr>
          <w:rFonts w:ascii="Arial" w:hAnsi="Arial" w:cs="Arial"/>
          <w:sz w:val="28"/>
          <w:szCs w:val="28"/>
        </w:rPr>
        <w:t xml:space="preserve">th civil society organisations addressing the extremely upsetting evidence of communal hatred, violence and alleged genocide in countries of the former Yugoslavia, including her own country, Serbia.  </w:t>
      </w:r>
    </w:p>
    <w:p w14:paraId="0AE01F1D" w14:textId="77777777" w:rsidR="00A33506" w:rsidRDefault="00A33506" w:rsidP="009974E5">
      <w:pPr>
        <w:spacing w:line="360" w:lineRule="auto"/>
        <w:jc w:val="both"/>
        <w:rPr>
          <w:rFonts w:ascii="Arial" w:hAnsi="Arial" w:cs="Arial"/>
          <w:sz w:val="28"/>
          <w:szCs w:val="28"/>
        </w:rPr>
      </w:pPr>
    </w:p>
    <w:p w14:paraId="68206F03" w14:textId="5E757559" w:rsidR="009974E5" w:rsidRDefault="00B70372" w:rsidP="009974E5">
      <w:pPr>
        <w:spacing w:line="360" w:lineRule="auto"/>
        <w:jc w:val="both"/>
        <w:rPr>
          <w:rFonts w:ascii="Arial" w:hAnsi="Arial" w:cs="Arial"/>
          <w:sz w:val="28"/>
          <w:szCs w:val="28"/>
        </w:rPr>
      </w:pPr>
      <w:r>
        <w:rPr>
          <w:rFonts w:ascii="Arial" w:hAnsi="Arial" w:cs="Arial"/>
          <w:sz w:val="28"/>
          <w:szCs w:val="28"/>
        </w:rPr>
        <w:t>Each of the commissioners</w:t>
      </w:r>
      <w:r w:rsidR="00A33506">
        <w:rPr>
          <w:rFonts w:ascii="Arial" w:hAnsi="Arial" w:cs="Arial"/>
          <w:sz w:val="28"/>
          <w:szCs w:val="28"/>
        </w:rPr>
        <w:t xml:space="preserve"> in the COI on DPRK</w:t>
      </w:r>
      <w:r>
        <w:rPr>
          <w:rFonts w:ascii="Arial" w:hAnsi="Arial" w:cs="Arial"/>
          <w:sz w:val="28"/>
          <w:szCs w:val="28"/>
        </w:rPr>
        <w:t xml:space="preserve"> was aware that witnesses </w:t>
      </w:r>
      <w:r w:rsidR="00A33506">
        <w:rPr>
          <w:rFonts w:ascii="Arial" w:hAnsi="Arial" w:cs="Arial"/>
          <w:sz w:val="28"/>
          <w:szCs w:val="28"/>
        </w:rPr>
        <w:t>can</w:t>
      </w:r>
      <w:r>
        <w:rPr>
          <w:rFonts w:ascii="Arial" w:hAnsi="Arial" w:cs="Arial"/>
          <w:sz w:val="28"/>
          <w:szCs w:val="28"/>
        </w:rPr>
        <w:t xml:space="preserve"> sometimes </w:t>
      </w:r>
      <w:r w:rsidR="00A33506">
        <w:rPr>
          <w:rFonts w:ascii="Arial" w:hAnsi="Arial" w:cs="Arial"/>
          <w:sz w:val="28"/>
          <w:szCs w:val="28"/>
        </w:rPr>
        <w:t xml:space="preserve">be </w:t>
      </w:r>
      <w:r>
        <w:rPr>
          <w:rFonts w:ascii="Arial" w:hAnsi="Arial" w:cs="Arial"/>
          <w:sz w:val="28"/>
          <w:szCs w:val="28"/>
        </w:rPr>
        <w:t>fraudulent and dishon</w:t>
      </w:r>
      <w:r w:rsidR="002B19A4">
        <w:rPr>
          <w:rFonts w:ascii="Arial" w:hAnsi="Arial" w:cs="Arial"/>
          <w:sz w:val="28"/>
          <w:szCs w:val="28"/>
        </w:rPr>
        <w:t>est; occasionally irresponsible</w:t>
      </w:r>
      <w:r>
        <w:rPr>
          <w:rFonts w:ascii="Arial" w:hAnsi="Arial" w:cs="Arial"/>
          <w:sz w:val="28"/>
          <w:szCs w:val="28"/>
        </w:rPr>
        <w:t xml:space="preserve"> and exaggerated</w:t>
      </w:r>
      <w:r w:rsidR="002B19A4">
        <w:rPr>
          <w:rFonts w:ascii="Arial" w:hAnsi="Arial" w:cs="Arial"/>
          <w:sz w:val="28"/>
          <w:szCs w:val="28"/>
        </w:rPr>
        <w:t>;</w:t>
      </w:r>
      <w:r>
        <w:rPr>
          <w:rFonts w:ascii="Arial" w:hAnsi="Arial" w:cs="Arial"/>
          <w:sz w:val="28"/>
          <w:szCs w:val="28"/>
        </w:rPr>
        <w:t xml:space="preserve"> and </w:t>
      </w:r>
      <w:r w:rsidR="00A33506">
        <w:rPr>
          <w:rFonts w:ascii="Arial" w:hAnsi="Arial" w:cs="Arial"/>
          <w:sz w:val="28"/>
          <w:szCs w:val="28"/>
        </w:rPr>
        <w:t>not uncommonly</w:t>
      </w:r>
      <w:r>
        <w:rPr>
          <w:rFonts w:ascii="Arial" w:hAnsi="Arial" w:cs="Arial"/>
          <w:sz w:val="28"/>
          <w:szCs w:val="28"/>
        </w:rPr>
        <w:t xml:space="preserve"> confused and forgetful.</w:t>
      </w:r>
      <w:r w:rsidR="009974E5">
        <w:rPr>
          <w:rFonts w:ascii="Arial" w:hAnsi="Arial" w:cs="Arial"/>
          <w:sz w:val="28"/>
          <w:szCs w:val="28"/>
        </w:rPr>
        <w:t xml:space="preserve"> </w:t>
      </w:r>
      <w:r>
        <w:rPr>
          <w:rFonts w:ascii="Arial" w:hAnsi="Arial" w:cs="Arial"/>
          <w:sz w:val="28"/>
          <w:szCs w:val="28"/>
        </w:rPr>
        <w:t xml:space="preserve">  However, those with the responsibility of a mandate</w:t>
      </w:r>
      <w:r w:rsidR="009A409C" w:rsidRPr="009A409C">
        <w:rPr>
          <w:rFonts w:ascii="Arial" w:hAnsi="Arial" w:cs="Arial"/>
          <w:sz w:val="28"/>
          <w:szCs w:val="28"/>
        </w:rPr>
        <w:t xml:space="preserve"> to reach conclusions</w:t>
      </w:r>
      <w:r w:rsidR="00A33506">
        <w:rPr>
          <w:rFonts w:ascii="Arial" w:hAnsi="Arial" w:cs="Arial"/>
          <w:sz w:val="28"/>
          <w:szCs w:val="28"/>
        </w:rPr>
        <w:t xml:space="preserve"> (including from the United Nations)</w:t>
      </w:r>
      <w:r>
        <w:rPr>
          <w:rFonts w:ascii="Arial" w:hAnsi="Arial" w:cs="Arial"/>
          <w:sz w:val="28"/>
          <w:szCs w:val="28"/>
        </w:rPr>
        <w:t xml:space="preserve"> cannot allow the imperfections of human nature and capacity to paralyse them.  Nor can they permit the possibility that they have sometimes been deceived by a witness to dominate their reaction to the testimony of witnesses generally, as Ms Song </w:t>
      </w:r>
      <w:r w:rsidR="002B19A4">
        <w:rPr>
          <w:rFonts w:ascii="Arial" w:hAnsi="Arial" w:cs="Arial"/>
          <w:sz w:val="28"/>
          <w:szCs w:val="28"/>
        </w:rPr>
        <w:t>appears to</w:t>
      </w:r>
      <w:r>
        <w:rPr>
          <w:rFonts w:ascii="Arial" w:hAnsi="Arial" w:cs="Arial"/>
          <w:sz w:val="28"/>
          <w:szCs w:val="28"/>
        </w:rPr>
        <w:t xml:space="preserve"> have done.  To permit disappointment with </w:t>
      </w:r>
      <w:r w:rsidR="00A33506">
        <w:rPr>
          <w:rFonts w:ascii="Arial" w:hAnsi="Arial" w:cs="Arial"/>
          <w:sz w:val="28"/>
          <w:szCs w:val="28"/>
        </w:rPr>
        <w:t xml:space="preserve">one or </w:t>
      </w:r>
      <w:r>
        <w:rPr>
          <w:rFonts w:ascii="Arial" w:hAnsi="Arial" w:cs="Arial"/>
          <w:sz w:val="28"/>
          <w:szCs w:val="28"/>
        </w:rPr>
        <w:t>a number of witnesses to destroy one’s faith in the investigatory process</w:t>
      </w:r>
      <w:r w:rsidR="002B19A4">
        <w:rPr>
          <w:rFonts w:ascii="Arial" w:hAnsi="Arial" w:cs="Arial"/>
          <w:sz w:val="28"/>
          <w:szCs w:val="28"/>
        </w:rPr>
        <w:t>,</w:t>
      </w:r>
      <w:r w:rsidR="00A33506">
        <w:rPr>
          <w:rFonts w:ascii="Arial" w:hAnsi="Arial" w:cs="Arial"/>
          <w:sz w:val="28"/>
          <w:szCs w:val="28"/>
        </w:rPr>
        <w:t xml:space="preserve"> as such</w:t>
      </w:r>
      <w:r w:rsidR="002B19A4">
        <w:rPr>
          <w:rFonts w:ascii="Arial" w:hAnsi="Arial" w:cs="Arial"/>
          <w:sz w:val="28"/>
          <w:szCs w:val="28"/>
        </w:rPr>
        <w:t>,</w:t>
      </w:r>
      <w:r>
        <w:rPr>
          <w:rFonts w:ascii="Arial" w:hAnsi="Arial" w:cs="Arial"/>
          <w:sz w:val="28"/>
          <w:szCs w:val="28"/>
        </w:rPr>
        <w:t xml:space="preserve"> is to allow one’s personal sense of </w:t>
      </w:r>
      <w:r w:rsidR="00A33506">
        <w:rPr>
          <w:rFonts w:ascii="Arial" w:hAnsi="Arial" w:cs="Arial"/>
          <w:sz w:val="28"/>
          <w:szCs w:val="28"/>
        </w:rPr>
        <w:t xml:space="preserve">pride and </w:t>
      </w:r>
      <w:r w:rsidR="009A409C">
        <w:rPr>
          <w:rFonts w:ascii="Arial" w:hAnsi="Arial" w:cs="Arial"/>
          <w:sz w:val="28"/>
          <w:szCs w:val="28"/>
        </w:rPr>
        <w:t>self-</w:t>
      </w:r>
      <w:r w:rsidR="00A33506">
        <w:rPr>
          <w:rFonts w:ascii="Arial" w:hAnsi="Arial" w:cs="Arial"/>
          <w:sz w:val="28"/>
          <w:szCs w:val="28"/>
        </w:rPr>
        <w:t>importance</w:t>
      </w:r>
      <w:r>
        <w:rPr>
          <w:rFonts w:ascii="Arial" w:hAnsi="Arial" w:cs="Arial"/>
          <w:sz w:val="28"/>
          <w:szCs w:val="28"/>
        </w:rPr>
        <w:t xml:space="preserve"> </w:t>
      </w:r>
      <w:r w:rsidR="00A33506">
        <w:rPr>
          <w:rFonts w:ascii="Arial" w:hAnsi="Arial" w:cs="Arial"/>
          <w:sz w:val="28"/>
          <w:szCs w:val="28"/>
        </w:rPr>
        <w:t>(</w:t>
      </w:r>
      <w:r>
        <w:rPr>
          <w:rFonts w:ascii="Arial" w:hAnsi="Arial" w:cs="Arial"/>
          <w:sz w:val="28"/>
          <w:szCs w:val="28"/>
        </w:rPr>
        <w:t>or even outrage at deception</w:t>
      </w:r>
      <w:r w:rsidR="00A33506">
        <w:rPr>
          <w:rFonts w:ascii="Arial" w:hAnsi="Arial" w:cs="Arial"/>
          <w:sz w:val="28"/>
          <w:szCs w:val="28"/>
        </w:rPr>
        <w:t>)</w:t>
      </w:r>
      <w:r>
        <w:rPr>
          <w:rFonts w:ascii="Arial" w:hAnsi="Arial" w:cs="Arial"/>
          <w:sz w:val="28"/>
          <w:szCs w:val="28"/>
        </w:rPr>
        <w:t xml:space="preserve"> to overcome the duty to press on and provide reasoned conclusion</w:t>
      </w:r>
      <w:r w:rsidR="00A33506">
        <w:rPr>
          <w:rFonts w:ascii="Arial" w:hAnsi="Arial" w:cs="Arial"/>
          <w:sz w:val="28"/>
          <w:szCs w:val="28"/>
        </w:rPr>
        <w:t>s in an inquiry that is objectively significant</w:t>
      </w:r>
      <w:r>
        <w:rPr>
          <w:rFonts w:ascii="Arial" w:hAnsi="Arial" w:cs="Arial"/>
          <w:sz w:val="28"/>
          <w:szCs w:val="28"/>
        </w:rPr>
        <w:t xml:space="preserve">.  Especially so, as Ms Song has acknowledged, </w:t>
      </w:r>
      <w:r w:rsidR="00A33506">
        <w:rPr>
          <w:rFonts w:ascii="Arial" w:hAnsi="Arial" w:cs="Arial"/>
          <w:sz w:val="28"/>
          <w:szCs w:val="28"/>
        </w:rPr>
        <w:t xml:space="preserve">because </w:t>
      </w:r>
      <w:r>
        <w:rPr>
          <w:rFonts w:ascii="Arial" w:hAnsi="Arial" w:cs="Arial"/>
          <w:sz w:val="28"/>
          <w:szCs w:val="28"/>
        </w:rPr>
        <w:t xml:space="preserve">a general conclusion can be reached </w:t>
      </w:r>
      <w:r w:rsidR="00A33506">
        <w:rPr>
          <w:rFonts w:ascii="Arial" w:hAnsi="Arial" w:cs="Arial"/>
          <w:sz w:val="28"/>
          <w:szCs w:val="28"/>
        </w:rPr>
        <w:t>th</w:t>
      </w:r>
      <w:r>
        <w:rPr>
          <w:rFonts w:ascii="Arial" w:hAnsi="Arial" w:cs="Arial"/>
          <w:sz w:val="28"/>
          <w:szCs w:val="28"/>
        </w:rPr>
        <w:t xml:space="preserve">at “there is no doubt </w:t>
      </w:r>
      <w:r>
        <w:rPr>
          <w:rFonts w:ascii="Arial" w:hAnsi="Arial" w:cs="Arial"/>
          <w:sz w:val="28"/>
          <w:szCs w:val="28"/>
        </w:rPr>
        <w:lastRenderedPageBreak/>
        <w:t>that the North Korean regime has violated serious human rights”.</w:t>
      </w:r>
      <w:r w:rsidR="00A33506" w:rsidRPr="00A33506">
        <w:rPr>
          <w:rFonts w:ascii="Arial" w:hAnsi="Arial" w:cs="Arial"/>
          <w:sz w:val="28"/>
          <w:szCs w:val="28"/>
          <w:vertAlign w:val="superscript"/>
        </w:rPr>
        <w:footnoteReference w:id="19"/>
      </w:r>
      <w:r>
        <w:rPr>
          <w:rFonts w:ascii="Arial" w:hAnsi="Arial" w:cs="Arial"/>
          <w:sz w:val="28"/>
          <w:szCs w:val="28"/>
        </w:rPr>
        <w:t xml:space="preserve">  If this is so, members of a United Nations inquiry</w:t>
      </w:r>
      <w:r w:rsidR="002B19A4">
        <w:rPr>
          <w:rFonts w:ascii="Arial" w:hAnsi="Arial" w:cs="Arial"/>
          <w:sz w:val="28"/>
          <w:szCs w:val="28"/>
        </w:rPr>
        <w:t>,</w:t>
      </w:r>
      <w:r>
        <w:rPr>
          <w:rFonts w:ascii="Arial" w:hAnsi="Arial" w:cs="Arial"/>
          <w:sz w:val="28"/>
          <w:szCs w:val="28"/>
        </w:rPr>
        <w:t xml:space="preserve"> established by the HRC</w:t>
      </w:r>
      <w:r w:rsidR="002B19A4">
        <w:rPr>
          <w:rFonts w:ascii="Arial" w:hAnsi="Arial" w:cs="Arial"/>
          <w:sz w:val="28"/>
          <w:szCs w:val="28"/>
        </w:rPr>
        <w:t>,</w:t>
      </w:r>
      <w:r>
        <w:rPr>
          <w:rFonts w:ascii="Arial" w:hAnsi="Arial" w:cs="Arial"/>
          <w:sz w:val="28"/>
          <w:szCs w:val="28"/>
        </w:rPr>
        <w:t xml:space="preserve"> do not have the luxury to walk away from their duty</w:t>
      </w:r>
      <w:r w:rsidR="009A409C">
        <w:rPr>
          <w:rFonts w:ascii="Arial" w:hAnsi="Arial" w:cs="Arial"/>
          <w:sz w:val="28"/>
          <w:szCs w:val="28"/>
        </w:rPr>
        <w:t xml:space="preserve">. </w:t>
      </w:r>
      <w:r>
        <w:rPr>
          <w:rFonts w:ascii="Arial" w:hAnsi="Arial" w:cs="Arial"/>
          <w:sz w:val="28"/>
          <w:szCs w:val="28"/>
        </w:rPr>
        <w:t xml:space="preserve"> </w:t>
      </w:r>
      <w:r w:rsidR="009A409C">
        <w:rPr>
          <w:rFonts w:ascii="Arial" w:hAnsi="Arial" w:cs="Arial"/>
          <w:sz w:val="28"/>
          <w:szCs w:val="28"/>
        </w:rPr>
        <w:t>N</w:t>
      </w:r>
      <w:r>
        <w:rPr>
          <w:rFonts w:ascii="Arial" w:hAnsi="Arial" w:cs="Arial"/>
          <w:sz w:val="28"/>
          <w:szCs w:val="28"/>
        </w:rPr>
        <w:t xml:space="preserve">or to exaggerate </w:t>
      </w:r>
      <w:r w:rsidR="009A409C">
        <w:rPr>
          <w:rFonts w:ascii="Arial" w:hAnsi="Arial" w:cs="Arial"/>
          <w:sz w:val="28"/>
          <w:szCs w:val="28"/>
        </w:rPr>
        <w:t>the dangers, in a few instances.</w:t>
      </w:r>
      <w:r>
        <w:rPr>
          <w:rFonts w:ascii="Arial" w:hAnsi="Arial" w:cs="Arial"/>
          <w:sz w:val="28"/>
          <w:szCs w:val="28"/>
        </w:rPr>
        <w:t xml:space="preserve"> </w:t>
      </w:r>
      <w:r w:rsidR="009A409C">
        <w:rPr>
          <w:rFonts w:ascii="Arial" w:hAnsi="Arial" w:cs="Arial"/>
          <w:sz w:val="28"/>
          <w:szCs w:val="28"/>
        </w:rPr>
        <w:t xml:space="preserve"> N</w:t>
      </w:r>
      <w:r>
        <w:rPr>
          <w:rFonts w:ascii="Arial" w:hAnsi="Arial" w:cs="Arial"/>
          <w:sz w:val="28"/>
          <w:szCs w:val="28"/>
        </w:rPr>
        <w:t>or to allow personal ego to overcome</w:t>
      </w:r>
      <w:r w:rsidR="00A33506">
        <w:rPr>
          <w:rFonts w:ascii="Arial" w:hAnsi="Arial" w:cs="Arial"/>
          <w:sz w:val="28"/>
          <w:szCs w:val="28"/>
        </w:rPr>
        <w:t xml:space="preserve"> their</w:t>
      </w:r>
      <w:r>
        <w:rPr>
          <w:rFonts w:ascii="Arial" w:hAnsi="Arial" w:cs="Arial"/>
          <w:sz w:val="28"/>
          <w:szCs w:val="28"/>
        </w:rPr>
        <w:t xml:space="preserve"> professional obligation</w:t>
      </w:r>
      <w:r w:rsidR="002B19A4">
        <w:rPr>
          <w:rFonts w:ascii="Arial" w:hAnsi="Arial" w:cs="Arial"/>
          <w:sz w:val="28"/>
          <w:szCs w:val="28"/>
        </w:rPr>
        <w:t>s</w:t>
      </w:r>
      <w:r>
        <w:rPr>
          <w:rFonts w:ascii="Arial" w:hAnsi="Arial" w:cs="Arial"/>
          <w:sz w:val="28"/>
          <w:szCs w:val="28"/>
        </w:rPr>
        <w:t>.</w:t>
      </w:r>
    </w:p>
    <w:p w14:paraId="3DEE57AD" w14:textId="77777777" w:rsidR="00B70372" w:rsidRDefault="00B70372" w:rsidP="009974E5">
      <w:pPr>
        <w:spacing w:line="360" w:lineRule="auto"/>
        <w:jc w:val="both"/>
        <w:rPr>
          <w:rFonts w:ascii="Arial" w:hAnsi="Arial" w:cs="Arial"/>
          <w:sz w:val="28"/>
          <w:szCs w:val="28"/>
        </w:rPr>
      </w:pPr>
    </w:p>
    <w:p w14:paraId="38ADF23B" w14:textId="5B23CE2B" w:rsidR="00B70372" w:rsidRDefault="00B70372" w:rsidP="009974E5">
      <w:pPr>
        <w:spacing w:line="360" w:lineRule="auto"/>
        <w:jc w:val="both"/>
        <w:rPr>
          <w:rFonts w:ascii="Arial" w:hAnsi="Arial" w:cs="Arial"/>
          <w:sz w:val="28"/>
          <w:szCs w:val="28"/>
        </w:rPr>
      </w:pPr>
      <w:r>
        <w:rPr>
          <w:rFonts w:ascii="Arial" w:hAnsi="Arial" w:cs="Arial"/>
          <w:sz w:val="28"/>
          <w:szCs w:val="28"/>
        </w:rPr>
        <w:t>In the case of the COI on DPRK, each of the Commissioners, at the time of embarking on their duties, made a solemn undertaking before the UN High Commissioner for Human Rights (Ms Navi Pillay) that they would act with integrity, impartiality, independence and professionalism.</w:t>
      </w:r>
      <w:r w:rsidR="00A33506" w:rsidRPr="00A33506">
        <w:rPr>
          <w:rFonts w:ascii="Arial" w:hAnsi="Arial" w:cs="Arial"/>
          <w:sz w:val="28"/>
          <w:szCs w:val="28"/>
          <w:vertAlign w:val="superscript"/>
        </w:rPr>
        <w:footnoteReference w:id="20"/>
      </w:r>
      <w:r>
        <w:rPr>
          <w:rFonts w:ascii="Arial" w:hAnsi="Arial" w:cs="Arial"/>
          <w:sz w:val="28"/>
          <w:szCs w:val="28"/>
        </w:rPr>
        <w:t xml:space="preserve">  Subsequently, this undertaking was reduced to writing</w:t>
      </w:r>
      <w:r w:rsidR="009A409C">
        <w:rPr>
          <w:rFonts w:ascii="Arial" w:hAnsi="Arial" w:cs="Arial"/>
          <w:sz w:val="28"/>
          <w:szCs w:val="28"/>
        </w:rPr>
        <w:t>, signed</w:t>
      </w:r>
      <w:r>
        <w:rPr>
          <w:rFonts w:ascii="Arial" w:hAnsi="Arial" w:cs="Arial"/>
          <w:sz w:val="28"/>
          <w:szCs w:val="28"/>
        </w:rPr>
        <w:t xml:space="preserve"> and deposited with the President of the HRC.  As well, before any witness was asked questions by </w:t>
      </w:r>
      <w:r w:rsidR="007E34F8">
        <w:rPr>
          <w:rFonts w:ascii="Arial" w:hAnsi="Arial" w:cs="Arial"/>
          <w:sz w:val="28"/>
          <w:szCs w:val="28"/>
        </w:rPr>
        <w:t>a</w:t>
      </w:r>
      <w:r>
        <w:rPr>
          <w:rFonts w:ascii="Arial" w:hAnsi="Arial" w:cs="Arial"/>
          <w:sz w:val="28"/>
          <w:szCs w:val="28"/>
        </w:rPr>
        <w:t xml:space="preserve"> member of the COI, each was requested to </w:t>
      </w:r>
      <w:r w:rsidR="002B19A4">
        <w:rPr>
          <w:rFonts w:ascii="Arial" w:hAnsi="Arial" w:cs="Arial"/>
          <w:sz w:val="28"/>
          <w:szCs w:val="28"/>
        </w:rPr>
        <w:t>declare</w:t>
      </w:r>
      <w:r>
        <w:rPr>
          <w:rFonts w:ascii="Arial" w:hAnsi="Arial" w:cs="Arial"/>
          <w:sz w:val="28"/>
          <w:szCs w:val="28"/>
        </w:rPr>
        <w:t xml:space="preserve"> publicly that the evidence that they would provide to the COI would be the truth.  Each witness so d</w:t>
      </w:r>
      <w:r w:rsidR="007E34F8">
        <w:rPr>
          <w:rFonts w:ascii="Arial" w:hAnsi="Arial" w:cs="Arial"/>
          <w:sz w:val="28"/>
          <w:szCs w:val="28"/>
        </w:rPr>
        <w:t>eclared</w:t>
      </w:r>
      <w:r>
        <w:rPr>
          <w:rFonts w:ascii="Arial" w:hAnsi="Arial" w:cs="Arial"/>
          <w:sz w:val="28"/>
          <w:szCs w:val="28"/>
        </w:rPr>
        <w:t>.  Similar procedures were followed in respect of witnesses interviewed privately.</w:t>
      </w:r>
    </w:p>
    <w:p w14:paraId="7B622BBB" w14:textId="77777777" w:rsidR="00B70372" w:rsidRDefault="00B70372" w:rsidP="009974E5">
      <w:pPr>
        <w:spacing w:line="360" w:lineRule="auto"/>
        <w:jc w:val="both"/>
        <w:rPr>
          <w:rFonts w:ascii="Arial" w:hAnsi="Arial" w:cs="Arial"/>
          <w:sz w:val="28"/>
          <w:szCs w:val="28"/>
        </w:rPr>
      </w:pPr>
    </w:p>
    <w:p w14:paraId="7D76AFA1" w14:textId="59402B6A" w:rsidR="00B70372" w:rsidRDefault="00B70372" w:rsidP="009974E5">
      <w:pPr>
        <w:spacing w:line="360" w:lineRule="auto"/>
        <w:jc w:val="both"/>
        <w:rPr>
          <w:rFonts w:ascii="Arial" w:hAnsi="Arial" w:cs="Arial"/>
          <w:sz w:val="28"/>
          <w:szCs w:val="28"/>
        </w:rPr>
      </w:pPr>
      <w:r>
        <w:rPr>
          <w:rFonts w:ascii="Arial" w:hAnsi="Arial" w:cs="Arial"/>
          <w:sz w:val="28"/>
          <w:szCs w:val="28"/>
        </w:rPr>
        <w:t>Additional considerations need to be note</w:t>
      </w:r>
      <w:r w:rsidR="007E34F8">
        <w:rPr>
          <w:rFonts w:ascii="Arial" w:hAnsi="Arial" w:cs="Arial"/>
          <w:sz w:val="28"/>
          <w:szCs w:val="28"/>
        </w:rPr>
        <w:t>d in light of Ms Song’s article.  It is important that scholars working in circumstances where free criticism of officials</w:t>
      </w:r>
      <w:r w:rsidR="002B19A4">
        <w:rPr>
          <w:rFonts w:ascii="Arial" w:hAnsi="Arial" w:cs="Arial"/>
          <w:sz w:val="28"/>
          <w:szCs w:val="28"/>
        </w:rPr>
        <w:t xml:space="preserve"> </w:t>
      </w:r>
      <w:r w:rsidR="007E34F8">
        <w:rPr>
          <w:rFonts w:ascii="Arial" w:hAnsi="Arial" w:cs="Arial"/>
          <w:sz w:val="28"/>
          <w:szCs w:val="28"/>
        </w:rPr>
        <w:t>is possible should not lend credence to the strategy of DPRK to attack witnesses and independent investigators who record faithfully and carefully evidence of grave abuse.</w:t>
      </w:r>
      <w:r w:rsidR="007E34F8" w:rsidRPr="007E34F8">
        <w:rPr>
          <w:rFonts w:ascii="Arial" w:hAnsi="Arial" w:cs="Arial"/>
          <w:sz w:val="28"/>
          <w:szCs w:val="28"/>
          <w:vertAlign w:val="superscript"/>
        </w:rPr>
        <w:t xml:space="preserve"> </w:t>
      </w:r>
      <w:r w:rsidR="007E34F8" w:rsidRPr="007E34F8">
        <w:rPr>
          <w:rFonts w:ascii="Arial" w:hAnsi="Arial" w:cs="Arial"/>
          <w:sz w:val="28"/>
          <w:szCs w:val="28"/>
          <w:vertAlign w:val="superscript"/>
        </w:rPr>
        <w:footnoteReference w:id="21"/>
      </w:r>
    </w:p>
    <w:p w14:paraId="46AF275A" w14:textId="77777777" w:rsidR="00B70372" w:rsidRDefault="00B70372" w:rsidP="009974E5">
      <w:pPr>
        <w:spacing w:line="360" w:lineRule="auto"/>
        <w:jc w:val="both"/>
        <w:rPr>
          <w:rFonts w:ascii="Arial" w:hAnsi="Arial" w:cs="Arial"/>
          <w:sz w:val="28"/>
          <w:szCs w:val="28"/>
        </w:rPr>
      </w:pPr>
    </w:p>
    <w:p w14:paraId="42D5ECD1" w14:textId="07A9249C" w:rsidR="00B70372" w:rsidRDefault="00B70372" w:rsidP="00B70372">
      <w:pPr>
        <w:pStyle w:val="ListParagraph"/>
        <w:numPr>
          <w:ilvl w:val="0"/>
          <w:numId w:val="27"/>
        </w:numPr>
        <w:spacing w:line="360" w:lineRule="auto"/>
        <w:jc w:val="both"/>
        <w:rPr>
          <w:rFonts w:ascii="Arial" w:hAnsi="Arial" w:cs="Arial"/>
          <w:sz w:val="28"/>
          <w:szCs w:val="28"/>
        </w:rPr>
      </w:pPr>
      <w:r>
        <w:rPr>
          <w:rFonts w:ascii="Arial" w:hAnsi="Arial" w:cs="Arial"/>
          <w:sz w:val="28"/>
          <w:szCs w:val="28"/>
        </w:rPr>
        <w:t>No monies were paid to witnesses</w:t>
      </w:r>
      <w:r w:rsidR="002B19A4">
        <w:rPr>
          <w:rFonts w:ascii="Arial" w:hAnsi="Arial" w:cs="Arial"/>
          <w:sz w:val="28"/>
          <w:szCs w:val="28"/>
        </w:rPr>
        <w:t xml:space="preserve"> as such,</w:t>
      </w:r>
      <w:r>
        <w:rPr>
          <w:rFonts w:ascii="Arial" w:hAnsi="Arial" w:cs="Arial"/>
          <w:sz w:val="28"/>
          <w:szCs w:val="28"/>
        </w:rPr>
        <w:t xml:space="preserve"> appearing before the COI in order to induce them to give their evidence.  In the normal way, </w:t>
      </w:r>
      <w:r w:rsidR="007E34F8">
        <w:rPr>
          <w:rFonts w:ascii="Arial" w:hAnsi="Arial" w:cs="Arial"/>
          <w:sz w:val="28"/>
          <w:szCs w:val="28"/>
        </w:rPr>
        <w:t>compensation or reimbursement was</w:t>
      </w:r>
      <w:r w:rsidR="002B19A4">
        <w:rPr>
          <w:rFonts w:ascii="Arial" w:hAnsi="Arial" w:cs="Arial"/>
          <w:sz w:val="28"/>
          <w:szCs w:val="28"/>
        </w:rPr>
        <w:t xml:space="preserve"> usually</w:t>
      </w:r>
      <w:r w:rsidR="007E34F8">
        <w:rPr>
          <w:rFonts w:ascii="Arial" w:hAnsi="Arial" w:cs="Arial"/>
          <w:sz w:val="28"/>
          <w:szCs w:val="28"/>
        </w:rPr>
        <w:t xml:space="preserve"> provided; </w:t>
      </w:r>
      <w:r w:rsidR="007E34F8">
        <w:rPr>
          <w:rFonts w:ascii="Arial" w:hAnsi="Arial" w:cs="Arial"/>
          <w:sz w:val="28"/>
          <w:szCs w:val="28"/>
        </w:rPr>
        <w:lastRenderedPageBreak/>
        <w:t>generally by civil society organisations whom the</w:t>
      </w:r>
      <w:r w:rsidR="002B19A4">
        <w:rPr>
          <w:rFonts w:ascii="Arial" w:hAnsi="Arial" w:cs="Arial"/>
          <w:sz w:val="28"/>
          <w:szCs w:val="28"/>
        </w:rPr>
        <w:t xml:space="preserve"> witnesses</w:t>
      </w:r>
      <w:r w:rsidR="007E34F8">
        <w:rPr>
          <w:rFonts w:ascii="Arial" w:hAnsi="Arial" w:cs="Arial"/>
          <w:sz w:val="28"/>
          <w:szCs w:val="28"/>
        </w:rPr>
        <w:t xml:space="preserve"> had come to trust, to cover </w:t>
      </w:r>
      <w:r w:rsidR="009A409C">
        <w:rPr>
          <w:rFonts w:ascii="Arial" w:hAnsi="Arial" w:cs="Arial"/>
          <w:sz w:val="28"/>
          <w:szCs w:val="28"/>
        </w:rPr>
        <w:t xml:space="preserve">necessary </w:t>
      </w:r>
      <w:r w:rsidR="007E34F8">
        <w:rPr>
          <w:rFonts w:ascii="Arial" w:hAnsi="Arial" w:cs="Arial"/>
          <w:sz w:val="28"/>
          <w:szCs w:val="28"/>
        </w:rPr>
        <w:t>transport and accommodation.  Most such witnesses have faced difficulties in re-establishing their lives in new countries</w:t>
      </w:r>
      <w:r>
        <w:rPr>
          <w:rFonts w:ascii="Arial" w:hAnsi="Arial" w:cs="Arial"/>
          <w:sz w:val="28"/>
          <w:szCs w:val="28"/>
        </w:rPr>
        <w:t>.</w:t>
      </w:r>
      <w:r w:rsidR="007E34F8">
        <w:rPr>
          <w:rFonts w:ascii="Arial" w:hAnsi="Arial" w:cs="Arial"/>
          <w:sz w:val="28"/>
          <w:szCs w:val="28"/>
        </w:rPr>
        <w:t xml:space="preserve"> </w:t>
      </w:r>
      <w:r w:rsidR="002B19A4">
        <w:rPr>
          <w:rFonts w:ascii="Arial" w:hAnsi="Arial" w:cs="Arial"/>
          <w:sz w:val="28"/>
          <w:szCs w:val="28"/>
        </w:rPr>
        <w:t xml:space="preserve"> Most</w:t>
      </w:r>
      <w:r w:rsidR="007E34F8">
        <w:rPr>
          <w:rFonts w:ascii="Arial" w:hAnsi="Arial" w:cs="Arial"/>
          <w:sz w:val="28"/>
          <w:szCs w:val="28"/>
        </w:rPr>
        <w:t xml:space="preserve"> would not otherwise have the funds to travel to and appear before a body such as the COI.  There is nothing unusual or reprehensible in any of these arrangements;</w:t>
      </w:r>
    </w:p>
    <w:p w14:paraId="5AD9D6E4" w14:textId="13EB4FEF" w:rsidR="00B70372" w:rsidRDefault="00B70372" w:rsidP="00B70372">
      <w:pPr>
        <w:pStyle w:val="ListParagraph"/>
        <w:numPr>
          <w:ilvl w:val="0"/>
          <w:numId w:val="27"/>
        </w:numPr>
        <w:spacing w:line="360" w:lineRule="auto"/>
        <w:jc w:val="both"/>
        <w:rPr>
          <w:rFonts w:ascii="Arial" w:hAnsi="Arial" w:cs="Arial"/>
          <w:sz w:val="28"/>
          <w:szCs w:val="28"/>
        </w:rPr>
      </w:pPr>
      <w:r>
        <w:rPr>
          <w:rFonts w:ascii="Arial" w:hAnsi="Arial" w:cs="Arial"/>
          <w:sz w:val="28"/>
          <w:szCs w:val="28"/>
        </w:rPr>
        <w:t>DPRK would not allow the COI access to its own territory despite repeated requests.  The COI could not therefore go to places in North Korea where it might investigate matters for itself</w:t>
      </w:r>
      <w:r w:rsidR="007E34F8">
        <w:rPr>
          <w:rFonts w:ascii="Arial" w:hAnsi="Arial" w:cs="Arial"/>
          <w:sz w:val="28"/>
          <w:szCs w:val="28"/>
        </w:rPr>
        <w:t>,</w:t>
      </w:r>
      <w:r>
        <w:rPr>
          <w:rFonts w:ascii="Arial" w:hAnsi="Arial" w:cs="Arial"/>
          <w:sz w:val="28"/>
          <w:szCs w:val="28"/>
        </w:rPr>
        <w:t xml:space="preserve"> on the ground.  It was obliged to invite testimony, including from escapees, refugees and experts</w:t>
      </w:r>
      <w:r w:rsidR="007E34F8">
        <w:rPr>
          <w:rFonts w:ascii="Arial" w:hAnsi="Arial" w:cs="Arial"/>
          <w:sz w:val="28"/>
          <w:szCs w:val="28"/>
        </w:rPr>
        <w:t xml:space="preserve"> – all of them resident outside DPRK</w:t>
      </w:r>
      <w:r>
        <w:rPr>
          <w:rFonts w:ascii="Arial" w:hAnsi="Arial" w:cs="Arial"/>
          <w:sz w:val="28"/>
          <w:szCs w:val="28"/>
        </w:rPr>
        <w:t>.  There was no difficulty in securing testimony in response to the</w:t>
      </w:r>
      <w:r w:rsidR="007E34F8">
        <w:rPr>
          <w:rFonts w:ascii="Arial" w:hAnsi="Arial" w:cs="Arial"/>
          <w:sz w:val="28"/>
          <w:szCs w:val="28"/>
        </w:rPr>
        <w:t xml:space="preserve"> COI’s</w:t>
      </w:r>
      <w:r>
        <w:rPr>
          <w:rFonts w:ascii="Arial" w:hAnsi="Arial" w:cs="Arial"/>
          <w:sz w:val="28"/>
          <w:szCs w:val="28"/>
        </w:rPr>
        <w:t xml:space="preserve"> invitation.  In the end, </w:t>
      </w:r>
      <w:r w:rsidR="002B19A4">
        <w:rPr>
          <w:rFonts w:ascii="Arial" w:hAnsi="Arial" w:cs="Arial"/>
          <w:sz w:val="28"/>
          <w:szCs w:val="28"/>
        </w:rPr>
        <w:t>gathering evidence</w:t>
      </w:r>
      <w:r>
        <w:rPr>
          <w:rFonts w:ascii="Arial" w:hAnsi="Arial" w:cs="Arial"/>
          <w:sz w:val="28"/>
          <w:szCs w:val="28"/>
        </w:rPr>
        <w:t xml:space="preserve"> had to be </w:t>
      </w:r>
      <w:r w:rsidR="009A409C">
        <w:rPr>
          <w:rFonts w:ascii="Arial" w:hAnsi="Arial" w:cs="Arial"/>
          <w:sz w:val="28"/>
          <w:szCs w:val="28"/>
        </w:rPr>
        <w:t>terminated</w:t>
      </w:r>
      <w:r>
        <w:rPr>
          <w:rFonts w:ascii="Arial" w:hAnsi="Arial" w:cs="Arial"/>
          <w:sz w:val="28"/>
          <w:szCs w:val="28"/>
        </w:rPr>
        <w:t xml:space="preserve"> in order to ensure compliance with the short deadline for report given to the COI by the HRC;</w:t>
      </w:r>
    </w:p>
    <w:p w14:paraId="14D7DD16" w14:textId="1D720096" w:rsidR="00B70372" w:rsidRDefault="00B70372" w:rsidP="00B70372">
      <w:pPr>
        <w:pStyle w:val="ListParagraph"/>
        <w:numPr>
          <w:ilvl w:val="0"/>
          <w:numId w:val="27"/>
        </w:numPr>
        <w:spacing w:line="360" w:lineRule="auto"/>
        <w:jc w:val="both"/>
        <w:rPr>
          <w:rFonts w:ascii="Arial" w:hAnsi="Arial" w:cs="Arial"/>
          <w:sz w:val="28"/>
          <w:szCs w:val="28"/>
        </w:rPr>
      </w:pPr>
      <w:r>
        <w:rPr>
          <w:rFonts w:ascii="Arial" w:hAnsi="Arial" w:cs="Arial"/>
          <w:sz w:val="28"/>
          <w:szCs w:val="28"/>
        </w:rPr>
        <w:t xml:space="preserve">The reliability of most escapees and refugees can be considered against the fact that very few </w:t>
      </w:r>
      <w:r w:rsidR="007E34F8">
        <w:rPr>
          <w:rFonts w:ascii="Arial" w:hAnsi="Arial" w:cs="Arial"/>
          <w:sz w:val="28"/>
          <w:szCs w:val="28"/>
        </w:rPr>
        <w:t>escapees or refugees</w:t>
      </w:r>
      <w:r>
        <w:rPr>
          <w:rFonts w:ascii="Arial" w:hAnsi="Arial" w:cs="Arial"/>
          <w:sz w:val="28"/>
          <w:szCs w:val="28"/>
        </w:rPr>
        <w:t xml:space="preserve"> have elected to return to DPRK;</w:t>
      </w:r>
    </w:p>
    <w:p w14:paraId="0697A3CC" w14:textId="75890388" w:rsidR="00B70372" w:rsidRDefault="00B70372" w:rsidP="00B70372">
      <w:pPr>
        <w:pStyle w:val="ListParagraph"/>
        <w:numPr>
          <w:ilvl w:val="0"/>
          <w:numId w:val="27"/>
        </w:numPr>
        <w:spacing w:line="360" w:lineRule="auto"/>
        <w:jc w:val="both"/>
        <w:rPr>
          <w:rFonts w:ascii="Arial" w:hAnsi="Arial" w:cs="Arial"/>
          <w:sz w:val="28"/>
          <w:szCs w:val="28"/>
        </w:rPr>
      </w:pPr>
      <w:r>
        <w:rPr>
          <w:rFonts w:ascii="Arial" w:hAnsi="Arial" w:cs="Arial"/>
          <w:sz w:val="28"/>
          <w:szCs w:val="28"/>
        </w:rPr>
        <w:t>Several of the witnesses before the COI gave evidence that effectively corroborated the testimony of others.  In particular, evidence concerning detention camps</w:t>
      </w:r>
      <w:r w:rsidR="009A409C">
        <w:rPr>
          <w:rFonts w:ascii="Arial" w:hAnsi="Arial" w:cs="Arial"/>
          <w:sz w:val="28"/>
          <w:szCs w:val="28"/>
        </w:rPr>
        <w:t>; general</w:t>
      </w:r>
      <w:r>
        <w:rPr>
          <w:rFonts w:ascii="Arial" w:hAnsi="Arial" w:cs="Arial"/>
          <w:sz w:val="28"/>
          <w:szCs w:val="28"/>
        </w:rPr>
        <w:t xml:space="preserve"> starvation and lack of food</w:t>
      </w:r>
      <w:r w:rsidR="009A409C">
        <w:rPr>
          <w:rFonts w:ascii="Arial" w:hAnsi="Arial" w:cs="Arial"/>
          <w:sz w:val="28"/>
          <w:szCs w:val="28"/>
        </w:rPr>
        <w:t>;</w:t>
      </w:r>
      <w:r>
        <w:rPr>
          <w:rFonts w:ascii="Arial" w:hAnsi="Arial" w:cs="Arial"/>
          <w:sz w:val="28"/>
          <w:szCs w:val="28"/>
        </w:rPr>
        <w:t xml:space="preserve"> restrictions on travel and movement; controls over</w:t>
      </w:r>
      <w:r w:rsidR="007E34F8">
        <w:rPr>
          <w:rFonts w:ascii="Arial" w:hAnsi="Arial" w:cs="Arial"/>
          <w:sz w:val="28"/>
          <w:szCs w:val="28"/>
        </w:rPr>
        <w:t xml:space="preserve"> access to</w:t>
      </w:r>
      <w:r>
        <w:rPr>
          <w:rFonts w:ascii="Arial" w:hAnsi="Arial" w:cs="Arial"/>
          <w:sz w:val="28"/>
          <w:szCs w:val="28"/>
        </w:rPr>
        <w:t xml:space="preserve"> media and the internet; harsh treatment for returnees from China and especially religious adheren</w:t>
      </w:r>
      <w:r w:rsidR="00393190">
        <w:rPr>
          <w:rFonts w:ascii="Arial" w:hAnsi="Arial" w:cs="Arial"/>
          <w:sz w:val="28"/>
          <w:szCs w:val="28"/>
        </w:rPr>
        <w:t>ts</w:t>
      </w:r>
      <w:r>
        <w:rPr>
          <w:rFonts w:ascii="Arial" w:hAnsi="Arial" w:cs="Arial"/>
          <w:sz w:val="28"/>
          <w:szCs w:val="28"/>
        </w:rPr>
        <w:t>; and totalitarian presentation of propaganda</w:t>
      </w:r>
      <w:r w:rsidR="00393190">
        <w:rPr>
          <w:rFonts w:ascii="Arial" w:hAnsi="Arial" w:cs="Arial"/>
          <w:sz w:val="28"/>
          <w:szCs w:val="28"/>
        </w:rPr>
        <w:t xml:space="preserve"> uniformly</w:t>
      </w:r>
      <w:r>
        <w:rPr>
          <w:rFonts w:ascii="Arial" w:hAnsi="Arial" w:cs="Arial"/>
          <w:sz w:val="28"/>
          <w:szCs w:val="28"/>
        </w:rPr>
        <w:t xml:space="preserve"> supporting the regime in DPRK, all came in similar terms from the mouths of several witnesses</w:t>
      </w:r>
      <w:r w:rsidR="00393190">
        <w:rPr>
          <w:rFonts w:ascii="Arial" w:hAnsi="Arial" w:cs="Arial"/>
          <w:sz w:val="28"/>
          <w:szCs w:val="28"/>
        </w:rPr>
        <w:t xml:space="preserve"> who did not know</w:t>
      </w:r>
      <w:r w:rsidR="002B19A4">
        <w:rPr>
          <w:rFonts w:ascii="Arial" w:hAnsi="Arial" w:cs="Arial"/>
          <w:sz w:val="28"/>
          <w:szCs w:val="28"/>
        </w:rPr>
        <w:t xml:space="preserve"> the other</w:t>
      </w:r>
      <w:r w:rsidR="00393190">
        <w:rPr>
          <w:rFonts w:ascii="Arial" w:hAnsi="Arial" w:cs="Arial"/>
          <w:sz w:val="28"/>
          <w:szCs w:val="28"/>
        </w:rPr>
        <w:t xml:space="preserve"> witnesses offering like testimony</w:t>
      </w:r>
      <w:r>
        <w:rPr>
          <w:rFonts w:ascii="Arial" w:hAnsi="Arial" w:cs="Arial"/>
          <w:sz w:val="28"/>
          <w:szCs w:val="28"/>
        </w:rPr>
        <w:t>;</w:t>
      </w:r>
    </w:p>
    <w:p w14:paraId="058D7144" w14:textId="5333E405" w:rsidR="00B70372" w:rsidRDefault="00B70372" w:rsidP="00B70372">
      <w:pPr>
        <w:pStyle w:val="ListParagraph"/>
        <w:numPr>
          <w:ilvl w:val="0"/>
          <w:numId w:val="27"/>
        </w:numPr>
        <w:spacing w:line="360" w:lineRule="auto"/>
        <w:jc w:val="both"/>
        <w:rPr>
          <w:rFonts w:ascii="Arial" w:hAnsi="Arial" w:cs="Arial"/>
          <w:sz w:val="28"/>
          <w:szCs w:val="28"/>
        </w:rPr>
      </w:pPr>
      <w:r>
        <w:rPr>
          <w:rFonts w:ascii="Arial" w:hAnsi="Arial" w:cs="Arial"/>
          <w:sz w:val="28"/>
          <w:szCs w:val="28"/>
        </w:rPr>
        <w:lastRenderedPageBreak/>
        <w:t>Testimony was filmed, transcribed</w:t>
      </w:r>
      <w:r w:rsidR="00393190">
        <w:rPr>
          <w:rFonts w:ascii="Arial" w:hAnsi="Arial" w:cs="Arial"/>
          <w:sz w:val="28"/>
          <w:szCs w:val="28"/>
        </w:rPr>
        <w:t xml:space="preserve"> and</w:t>
      </w:r>
      <w:r>
        <w:rPr>
          <w:rFonts w:ascii="Arial" w:hAnsi="Arial" w:cs="Arial"/>
          <w:sz w:val="28"/>
          <w:szCs w:val="28"/>
        </w:rPr>
        <w:t xml:space="preserve"> </w:t>
      </w:r>
      <w:r w:rsidR="00393190">
        <w:rPr>
          <w:rFonts w:ascii="Arial" w:hAnsi="Arial" w:cs="Arial"/>
          <w:sz w:val="28"/>
          <w:szCs w:val="28"/>
        </w:rPr>
        <w:t xml:space="preserve">(where it was received in public hearings) is available online. </w:t>
      </w:r>
      <w:r>
        <w:rPr>
          <w:rFonts w:ascii="Arial" w:hAnsi="Arial" w:cs="Arial"/>
          <w:sz w:val="28"/>
          <w:szCs w:val="28"/>
        </w:rPr>
        <w:t xml:space="preserve"> </w:t>
      </w:r>
      <w:r w:rsidR="00393190">
        <w:rPr>
          <w:rFonts w:ascii="Arial" w:hAnsi="Arial" w:cs="Arial"/>
          <w:sz w:val="28"/>
          <w:szCs w:val="28"/>
        </w:rPr>
        <w:t>E</w:t>
      </w:r>
      <w:r>
        <w:rPr>
          <w:rFonts w:ascii="Arial" w:hAnsi="Arial" w:cs="Arial"/>
          <w:sz w:val="28"/>
          <w:szCs w:val="28"/>
        </w:rPr>
        <w:t>xcept</w:t>
      </w:r>
      <w:r w:rsidR="00393190">
        <w:rPr>
          <w:rFonts w:ascii="Arial" w:hAnsi="Arial" w:cs="Arial"/>
          <w:sz w:val="28"/>
          <w:szCs w:val="28"/>
        </w:rPr>
        <w:t>ions were provided</w:t>
      </w:r>
      <w:r>
        <w:rPr>
          <w:rFonts w:ascii="Arial" w:hAnsi="Arial" w:cs="Arial"/>
          <w:sz w:val="28"/>
          <w:szCs w:val="28"/>
        </w:rPr>
        <w:t xml:space="preserve"> for witnesses whom the COI regarded as likely to be endangered if they gave evidence in public;</w:t>
      </w:r>
    </w:p>
    <w:p w14:paraId="6F35E933" w14:textId="03F224CA" w:rsidR="00B70372" w:rsidRDefault="00B70372" w:rsidP="00B70372">
      <w:pPr>
        <w:pStyle w:val="ListParagraph"/>
        <w:numPr>
          <w:ilvl w:val="0"/>
          <w:numId w:val="27"/>
        </w:numPr>
        <w:spacing w:line="360" w:lineRule="auto"/>
        <w:jc w:val="both"/>
        <w:rPr>
          <w:rFonts w:ascii="Arial" w:hAnsi="Arial" w:cs="Arial"/>
          <w:sz w:val="28"/>
          <w:szCs w:val="28"/>
        </w:rPr>
      </w:pPr>
      <w:r>
        <w:rPr>
          <w:rFonts w:ascii="Arial" w:hAnsi="Arial" w:cs="Arial"/>
          <w:sz w:val="28"/>
          <w:szCs w:val="28"/>
        </w:rPr>
        <w:t>Satellite images of DPRK</w:t>
      </w:r>
      <w:r w:rsidR="009A409C">
        <w:rPr>
          <w:rFonts w:ascii="Arial" w:hAnsi="Arial" w:cs="Arial"/>
          <w:sz w:val="28"/>
          <w:szCs w:val="28"/>
        </w:rPr>
        <w:t>,</w:t>
      </w:r>
      <w:r w:rsidR="00393190">
        <w:rPr>
          <w:rFonts w:ascii="Arial" w:hAnsi="Arial" w:cs="Arial"/>
          <w:sz w:val="28"/>
          <w:szCs w:val="28"/>
        </w:rPr>
        <w:t xml:space="preserve"> available to the COI</w:t>
      </w:r>
      <w:r w:rsidR="009A409C">
        <w:rPr>
          <w:rFonts w:ascii="Arial" w:hAnsi="Arial" w:cs="Arial"/>
          <w:sz w:val="28"/>
          <w:szCs w:val="28"/>
        </w:rPr>
        <w:t>,</w:t>
      </w:r>
      <w:r>
        <w:rPr>
          <w:rFonts w:ascii="Arial" w:hAnsi="Arial" w:cs="Arial"/>
          <w:sz w:val="28"/>
          <w:szCs w:val="28"/>
        </w:rPr>
        <w:t xml:space="preserve"> confirm what appear to be</w:t>
      </w:r>
      <w:r w:rsidR="00393190">
        <w:rPr>
          <w:rFonts w:ascii="Arial" w:hAnsi="Arial" w:cs="Arial"/>
          <w:sz w:val="28"/>
          <w:szCs w:val="28"/>
        </w:rPr>
        <w:t xml:space="preserve"> the buildings </w:t>
      </w:r>
      <w:r w:rsidR="009A409C">
        <w:rPr>
          <w:rFonts w:ascii="Arial" w:hAnsi="Arial" w:cs="Arial"/>
          <w:sz w:val="28"/>
          <w:szCs w:val="28"/>
        </w:rPr>
        <w:t>consistent with</w:t>
      </w:r>
      <w:r>
        <w:rPr>
          <w:rFonts w:ascii="Arial" w:hAnsi="Arial" w:cs="Arial"/>
          <w:sz w:val="28"/>
          <w:szCs w:val="28"/>
        </w:rPr>
        <w:t xml:space="preserve"> detention camps following the general lines of the oral testimony </w:t>
      </w:r>
      <w:r w:rsidR="00393190">
        <w:rPr>
          <w:rFonts w:ascii="Arial" w:hAnsi="Arial" w:cs="Arial"/>
          <w:sz w:val="28"/>
          <w:szCs w:val="28"/>
        </w:rPr>
        <w:t>provided</w:t>
      </w:r>
      <w:r>
        <w:rPr>
          <w:rFonts w:ascii="Arial" w:hAnsi="Arial" w:cs="Arial"/>
          <w:sz w:val="28"/>
          <w:szCs w:val="28"/>
        </w:rPr>
        <w:t xml:space="preserve"> by witnesses.  Moreover, by way of contrast with images of ROK, China and Japan</w:t>
      </w:r>
      <w:r w:rsidR="00393190">
        <w:rPr>
          <w:rFonts w:ascii="Arial" w:hAnsi="Arial" w:cs="Arial"/>
          <w:sz w:val="28"/>
          <w:szCs w:val="28"/>
        </w:rPr>
        <w:t xml:space="preserve">, </w:t>
      </w:r>
      <w:r w:rsidR="00393190" w:rsidRPr="00393190">
        <w:rPr>
          <w:rFonts w:ascii="Arial" w:hAnsi="Arial" w:cs="Arial"/>
          <w:sz w:val="28"/>
          <w:szCs w:val="28"/>
        </w:rPr>
        <w:t>they demonstrate</w:t>
      </w:r>
      <w:r>
        <w:rPr>
          <w:rFonts w:ascii="Arial" w:hAnsi="Arial" w:cs="Arial"/>
          <w:sz w:val="28"/>
          <w:szCs w:val="28"/>
        </w:rPr>
        <w:t xml:space="preserve"> the bleak</w:t>
      </w:r>
      <w:r w:rsidR="00393190">
        <w:rPr>
          <w:rFonts w:ascii="Arial" w:hAnsi="Arial" w:cs="Arial"/>
          <w:sz w:val="28"/>
          <w:szCs w:val="28"/>
        </w:rPr>
        <w:t xml:space="preserve"> physical</w:t>
      </w:r>
      <w:r w:rsidR="002B19A4">
        <w:rPr>
          <w:rFonts w:ascii="Arial" w:hAnsi="Arial" w:cs="Arial"/>
          <w:sz w:val="28"/>
          <w:szCs w:val="28"/>
        </w:rPr>
        <w:t xml:space="preserve"> and</w:t>
      </w:r>
      <w:r>
        <w:rPr>
          <w:rFonts w:ascii="Arial" w:hAnsi="Arial" w:cs="Arial"/>
          <w:sz w:val="28"/>
          <w:szCs w:val="28"/>
        </w:rPr>
        <w:t xml:space="preserve"> economic situation in DPRK;</w:t>
      </w:r>
    </w:p>
    <w:p w14:paraId="0B190B90" w14:textId="41F72075" w:rsidR="00B70372" w:rsidRDefault="00B70372" w:rsidP="00B70372">
      <w:pPr>
        <w:pStyle w:val="ListParagraph"/>
        <w:numPr>
          <w:ilvl w:val="0"/>
          <w:numId w:val="27"/>
        </w:numPr>
        <w:spacing w:line="360" w:lineRule="auto"/>
        <w:jc w:val="both"/>
        <w:rPr>
          <w:rFonts w:ascii="Arial" w:hAnsi="Arial" w:cs="Arial"/>
          <w:sz w:val="28"/>
          <w:szCs w:val="28"/>
        </w:rPr>
      </w:pPr>
      <w:r>
        <w:rPr>
          <w:rFonts w:ascii="Arial" w:hAnsi="Arial" w:cs="Arial"/>
          <w:sz w:val="28"/>
          <w:szCs w:val="28"/>
        </w:rPr>
        <w:t>Opportunities were given to DPRK, in respect of testimony</w:t>
      </w:r>
      <w:r w:rsidR="00393190">
        <w:rPr>
          <w:rFonts w:ascii="Arial" w:hAnsi="Arial" w:cs="Arial"/>
          <w:sz w:val="28"/>
          <w:szCs w:val="28"/>
        </w:rPr>
        <w:t xml:space="preserve"> gathered</w:t>
      </w:r>
      <w:r>
        <w:rPr>
          <w:rFonts w:ascii="Arial" w:hAnsi="Arial" w:cs="Arial"/>
          <w:sz w:val="28"/>
          <w:szCs w:val="28"/>
        </w:rPr>
        <w:t xml:space="preserve"> in ROK to </w:t>
      </w:r>
      <w:r w:rsidR="00393190">
        <w:rPr>
          <w:rFonts w:ascii="Arial" w:hAnsi="Arial" w:cs="Arial"/>
          <w:sz w:val="28"/>
          <w:szCs w:val="28"/>
        </w:rPr>
        <w:t>appoint</w:t>
      </w:r>
      <w:r>
        <w:rPr>
          <w:rFonts w:ascii="Arial" w:hAnsi="Arial" w:cs="Arial"/>
          <w:sz w:val="28"/>
          <w:szCs w:val="28"/>
        </w:rPr>
        <w:t xml:space="preserve"> lawyers</w:t>
      </w:r>
      <w:r w:rsidR="002B19A4">
        <w:rPr>
          <w:rFonts w:ascii="Arial" w:hAnsi="Arial" w:cs="Arial"/>
          <w:sz w:val="28"/>
          <w:szCs w:val="28"/>
        </w:rPr>
        <w:t xml:space="preserve"> </w:t>
      </w:r>
      <w:r w:rsidR="002B19A4" w:rsidRPr="002B19A4">
        <w:rPr>
          <w:rFonts w:ascii="Arial" w:hAnsi="Arial" w:cs="Arial"/>
          <w:sz w:val="28"/>
          <w:szCs w:val="28"/>
        </w:rPr>
        <w:t>(or representatives)</w:t>
      </w:r>
      <w:r>
        <w:rPr>
          <w:rFonts w:ascii="Arial" w:hAnsi="Arial" w:cs="Arial"/>
          <w:sz w:val="28"/>
          <w:szCs w:val="28"/>
        </w:rPr>
        <w:t xml:space="preserve"> to </w:t>
      </w:r>
      <w:r w:rsidR="002B19A4">
        <w:rPr>
          <w:rFonts w:ascii="Arial" w:hAnsi="Arial" w:cs="Arial"/>
          <w:sz w:val="28"/>
          <w:szCs w:val="28"/>
        </w:rPr>
        <w:t>advance</w:t>
      </w:r>
      <w:r>
        <w:rPr>
          <w:rFonts w:ascii="Arial" w:hAnsi="Arial" w:cs="Arial"/>
          <w:sz w:val="28"/>
          <w:szCs w:val="28"/>
        </w:rPr>
        <w:t xml:space="preserve"> their interest</w:t>
      </w:r>
      <w:r w:rsidR="00393190">
        <w:rPr>
          <w:rFonts w:ascii="Arial" w:hAnsi="Arial" w:cs="Arial"/>
          <w:sz w:val="28"/>
          <w:szCs w:val="28"/>
        </w:rPr>
        <w:t>s</w:t>
      </w:r>
      <w:r>
        <w:rPr>
          <w:rFonts w:ascii="Arial" w:hAnsi="Arial" w:cs="Arial"/>
          <w:sz w:val="28"/>
          <w:szCs w:val="28"/>
        </w:rPr>
        <w:t xml:space="preserve"> and, with leave, </w:t>
      </w:r>
      <w:r w:rsidR="00393190">
        <w:rPr>
          <w:rFonts w:ascii="Arial" w:hAnsi="Arial" w:cs="Arial"/>
          <w:sz w:val="28"/>
          <w:szCs w:val="28"/>
        </w:rPr>
        <w:t xml:space="preserve">to </w:t>
      </w:r>
      <w:r>
        <w:rPr>
          <w:rFonts w:ascii="Arial" w:hAnsi="Arial" w:cs="Arial"/>
          <w:sz w:val="28"/>
          <w:szCs w:val="28"/>
        </w:rPr>
        <w:t>ask questions</w:t>
      </w:r>
      <w:r w:rsidR="00393190">
        <w:rPr>
          <w:rFonts w:ascii="Arial" w:hAnsi="Arial" w:cs="Arial"/>
          <w:sz w:val="28"/>
          <w:szCs w:val="28"/>
        </w:rPr>
        <w:t xml:space="preserve"> of all witnesses</w:t>
      </w:r>
      <w:r>
        <w:rPr>
          <w:rFonts w:ascii="Arial" w:hAnsi="Arial" w:cs="Arial"/>
          <w:sz w:val="28"/>
          <w:szCs w:val="28"/>
        </w:rPr>
        <w:t>.  Their refusal to accept this possibility makes it unpersuasive</w:t>
      </w:r>
      <w:r w:rsidR="00393190">
        <w:rPr>
          <w:rFonts w:ascii="Arial" w:hAnsi="Arial" w:cs="Arial"/>
          <w:sz w:val="28"/>
          <w:szCs w:val="28"/>
        </w:rPr>
        <w:t xml:space="preserve"> now</w:t>
      </w:r>
      <w:r>
        <w:rPr>
          <w:rFonts w:ascii="Arial" w:hAnsi="Arial" w:cs="Arial"/>
          <w:sz w:val="28"/>
          <w:szCs w:val="28"/>
        </w:rPr>
        <w:t xml:space="preserve"> to allow DPRK to rely on alleged imperfections of </w:t>
      </w:r>
      <w:r w:rsidR="002B19A4">
        <w:rPr>
          <w:rFonts w:ascii="Arial" w:hAnsi="Arial" w:cs="Arial"/>
          <w:sz w:val="28"/>
          <w:szCs w:val="28"/>
        </w:rPr>
        <w:t xml:space="preserve">some of </w:t>
      </w:r>
      <w:r>
        <w:rPr>
          <w:rFonts w:ascii="Arial" w:hAnsi="Arial" w:cs="Arial"/>
          <w:sz w:val="28"/>
          <w:szCs w:val="28"/>
        </w:rPr>
        <w:t>the evidence to which it is the main contributor by its total lack of cooperation</w:t>
      </w:r>
      <w:r w:rsidR="00393190">
        <w:rPr>
          <w:rFonts w:ascii="Arial" w:hAnsi="Arial" w:cs="Arial"/>
          <w:sz w:val="28"/>
          <w:szCs w:val="28"/>
        </w:rPr>
        <w:t>;</w:t>
      </w:r>
      <w:r>
        <w:rPr>
          <w:rFonts w:ascii="Arial" w:hAnsi="Arial" w:cs="Arial"/>
          <w:sz w:val="28"/>
          <w:szCs w:val="28"/>
        </w:rPr>
        <w:t xml:space="preserve">  </w:t>
      </w:r>
    </w:p>
    <w:p w14:paraId="22B8ADD6" w14:textId="7B7A0B6E" w:rsidR="00A22629" w:rsidRDefault="00A22629" w:rsidP="00B70372">
      <w:pPr>
        <w:pStyle w:val="ListParagraph"/>
        <w:numPr>
          <w:ilvl w:val="0"/>
          <w:numId w:val="27"/>
        </w:numPr>
        <w:spacing w:line="360" w:lineRule="auto"/>
        <w:jc w:val="both"/>
        <w:rPr>
          <w:rFonts w:ascii="Arial" w:hAnsi="Arial" w:cs="Arial"/>
          <w:sz w:val="28"/>
          <w:szCs w:val="28"/>
        </w:rPr>
      </w:pPr>
      <w:r>
        <w:rPr>
          <w:rFonts w:ascii="Arial" w:hAnsi="Arial" w:cs="Arial"/>
          <w:sz w:val="28"/>
          <w:szCs w:val="28"/>
        </w:rPr>
        <w:t>The COI report did not simply accept and summarise the claims of witnesses.  The commissioners were assisted by a skilled secretariat, which was itself independent of other UN organs</w:t>
      </w:r>
      <w:r w:rsidR="00393190">
        <w:rPr>
          <w:rFonts w:ascii="Arial" w:hAnsi="Arial" w:cs="Arial"/>
          <w:sz w:val="28"/>
          <w:szCs w:val="28"/>
        </w:rPr>
        <w:t>.  Members of the secretariat</w:t>
      </w:r>
      <w:r>
        <w:rPr>
          <w:rFonts w:ascii="Arial" w:hAnsi="Arial" w:cs="Arial"/>
          <w:sz w:val="28"/>
          <w:szCs w:val="28"/>
        </w:rPr>
        <w:t xml:space="preserve"> provid</w:t>
      </w:r>
      <w:r w:rsidR="00393190">
        <w:rPr>
          <w:rFonts w:ascii="Arial" w:hAnsi="Arial" w:cs="Arial"/>
          <w:sz w:val="28"/>
          <w:szCs w:val="28"/>
        </w:rPr>
        <w:t>ed</w:t>
      </w:r>
      <w:r>
        <w:rPr>
          <w:rFonts w:ascii="Arial" w:hAnsi="Arial" w:cs="Arial"/>
          <w:sz w:val="28"/>
          <w:szCs w:val="28"/>
        </w:rPr>
        <w:t xml:space="preserve"> advice </w:t>
      </w:r>
      <w:r w:rsidR="00393190">
        <w:rPr>
          <w:rFonts w:ascii="Arial" w:hAnsi="Arial" w:cs="Arial"/>
          <w:sz w:val="28"/>
          <w:szCs w:val="28"/>
        </w:rPr>
        <w:t>and</w:t>
      </w:r>
      <w:r>
        <w:rPr>
          <w:rFonts w:ascii="Arial" w:hAnsi="Arial" w:cs="Arial"/>
          <w:sz w:val="28"/>
          <w:szCs w:val="28"/>
        </w:rPr>
        <w:t xml:space="preserve"> analysis </w:t>
      </w:r>
      <w:r w:rsidR="00A6089A">
        <w:rPr>
          <w:rFonts w:ascii="Arial" w:hAnsi="Arial" w:cs="Arial"/>
          <w:sz w:val="28"/>
          <w:szCs w:val="28"/>
        </w:rPr>
        <w:t xml:space="preserve">on witnesses and issues </w:t>
      </w:r>
      <w:r>
        <w:rPr>
          <w:rFonts w:ascii="Arial" w:hAnsi="Arial" w:cs="Arial"/>
          <w:sz w:val="28"/>
          <w:szCs w:val="28"/>
        </w:rPr>
        <w:t>but accept</w:t>
      </w:r>
      <w:r w:rsidR="00393190">
        <w:rPr>
          <w:rFonts w:ascii="Arial" w:hAnsi="Arial" w:cs="Arial"/>
          <w:sz w:val="28"/>
          <w:szCs w:val="28"/>
        </w:rPr>
        <w:t>ed, as they were bound to do,</w:t>
      </w:r>
      <w:r>
        <w:rPr>
          <w:rFonts w:ascii="Arial" w:hAnsi="Arial" w:cs="Arial"/>
          <w:sz w:val="28"/>
          <w:szCs w:val="28"/>
        </w:rPr>
        <w:t xml:space="preserve"> that the commissioners had the right and duty of the last word on all matters</w:t>
      </w:r>
      <w:r w:rsidR="00393190">
        <w:rPr>
          <w:rFonts w:ascii="Arial" w:hAnsi="Arial" w:cs="Arial"/>
          <w:sz w:val="28"/>
          <w:szCs w:val="28"/>
        </w:rPr>
        <w:t xml:space="preserve"> in the COI report</w:t>
      </w:r>
      <w:r>
        <w:rPr>
          <w:rFonts w:ascii="Arial" w:hAnsi="Arial" w:cs="Arial"/>
          <w:sz w:val="28"/>
          <w:szCs w:val="28"/>
        </w:rPr>
        <w:t>.  Some</w:t>
      </w:r>
      <w:r w:rsidR="00393190">
        <w:rPr>
          <w:rFonts w:ascii="Arial" w:hAnsi="Arial" w:cs="Arial"/>
          <w:sz w:val="28"/>
          <w:szCs w:val="28"/>
        </w:rPr>
        <w:t xml:space="preserve"> parts of</w:t>
      </w:r>
      <w:r>
        <w:rPr>
          <w:rFonts w:ascii="Arial" w:hAnsi="Arial" w:cs="Arial"/>
          <w:sz w:val="28"/>
          <w:szCs w:val="28"/>
        </w:rPr>
        <w:t xml:space="preserve"> individual testimony of witnesses were not included in the</w:t>
      </w:r>
      <w:r w:rsidR="00393190">
        <w:rPr>
          <w:rFonts w:ascii="Arial" w:hAnsi="Arial" w:cs="Arial"/>
          <w:sz w:val="28"/>
          <w:szCs w:val="28"/>
        </w:rPr>
        <w:t xml:space="preserve"> COI</w:t>
      </w:r>
      <w:r>
        <w:rPr>
          <w:rFonts w:ascii="Arial" w:hAnsi="Arial" w:cs="Arial"/>
          <w:sz w:val="28"/>
          <w:szCs w:val="28"/>
        </w:rPr>
        <w:t xml:space="preserve"> report because the COI was unsure as to their reliability.  </w:t>
      </w:r>
      <w:r w:rsidR="00393190">
        <w:rPr>
          <w:rFonts w:ascii="Arial" w:hAnsi="Arial" w:cs="Arial"/>
          <w:sz w:val="28"/>
          <w:szCs w:val="28"/>
        </w:rPr>
        <w:t>For example, a</w:t>
      </w:r>
      <w:r>
        <w:rPr>
          <w:rFonts w:ascii="Arial" w:hAnsi="Arial" w:cs="Arial"/>
          <w:sz w:val="28"/>
          <w:szCs w:val="28"/>
        </w:rPr>
        <w:t>n account suggesting the performance of</w:t>
      </w:r>
      <w:r w:rsidR="00393190">
        <w:rPr>
          <w:rFonts w:ascii="Arial" w:hAnsi="Arial" w:cs="Arial"/>
          <w:sz w:val="28"/>
          <w:szCs w:val="28"/>
        </w:rPr>
        <w:t xml:space="preserve"> unconsensual</w:t>
      </w:r>
      <w:r>
        <w:rPr>
          <w:rFonts w:ascii="Arial" w:hAnsi="Arial" w:cs="Arial"/>
          <w:sz w:val="28"/>
          <w:szCs w:val="28"/>
        </w:rPr>
        <w:t xml:space="preserve"> medi</w:t>
      </w:r>
      <w:r w:rsidR="00393190">
        <w:rPr>
          <w:rFonts w:ascii="Arial" w:hAnsi="Arial" w:cs="Arial"/>
          <w:sz w:val="28"/>
          <w:szCs w:val="28"/>
        </w:rPr>
        <w:t>cal experiments in DPRK was not included</w:t>
      </w:r>
      <w:r>
        <w:rPr>
          <w:rFonts w:ascii="Arial" w:hAnsi="Arial" w:cs="Arial"/>
          <w:sz w:val="28"/>
          <w:szCs w:val="28"/>
        </w:rPr>
        <w:t xml:space="preserve">.  Similarly, the COI ultimately rejected witness suggestions of genocide, because of the view it took as to </w:t>
      </w:r>
      <w:r>
        <w:rPr>
          <w:rFonts w:ascii="Arial" w:hAnsi="Arial" w:cs="Arial"/>
          <w:sz w:val="28"/>
          <w:szCs w:val="28"/>
        </w:rPr>
        <w:lastRenderedPageBreak/>
        <w:t xml:space="preserve">the state of the evidence </w:t>
      </w:r>
      <w:r w:rsidR="00393190">
        <w:rPr>
          <w:rFonts w:ascii="Arial" w:hAnsi="Arial" w:cs="Arial"/>
          <w:sz w:val="28"/>
          <w:szCs w:val="28"/>
        </w:rPr>
        <w:t xml:space="preserve">before it </w:t>
      </w:r>
      <w:r>
        <w:rPr>
          <w:rFonts w:ascii="Arial" w:hAnsi="Arial" w:cs="Arial"/>
          <w:sz w:val="28"/>
          <w:szCs w:val="28"/>
        </w:rPr>
        <w:t xml:space="preserve">and the legal requirements for proving </w:t>
      </w:r>
      <w:r w:rsidR="00393190">
        <w:rPr>
          <w:rFonts w:ascii="Arial" w:hAnsi="Arial" w:cs="Arial"/>
          <w:sz w:val="28"/>
          <w:szCs w:val="28"/>
        </w:rPr>
        <w:t>“</w:t>
      </w:r>
      <w:r>
        <w:rPr>
          <w:rFonts w:ascii="Arial" w:hAnsi="Arial" w:cs="Arial"/>
          <w:sz w:val="28"/>
          <w:szCs w:val="28"/>
        </w:rPr>
        <w:t>genocide</w:t>
      </w:r>
      <w:r w:rsidR="00393190">
        <w:rPr>
          <w:rFonts w:ascii="Arial" w:hAnsi="Arial" w:cs="Arial"/>
          <w:sz w:val="28"/>
          <w:szCs w:val="28"/>
        </w:rPr>
        <w:t>”</w:t>
      </w:r>
      <w:r>
        <w:rPr>
          <w:rFonts w:ascii="Arial" w:hAnsi="Arial" w:cs="Arial"/>
          <w:sz w:val="28"/>
          <w:szCs w:val="28"/>
        </w:rPr>
        <w:t xml:space="preserve"> under current international law.</w:t>
      </w:r>
      <w:r w:rsidR="00B546F7" w:rsidRPr="00B546F7">
        <w:rPr>
          <w:rFonts w:ascii="Arial" w:hAnsi="Arial" w:cs="Arial"/>
          <w:sz w:val="28"/>
          <w:szCs w:val="28"/>
          <w:vertAlign w:val="superscript"/>
        </w:rPr>
        <w:footnoteReference w:id="22"/>
      </w:r>
      <w:r>
        <w:rPr>
          <w:rFonts w:ascii="Arial" w:hAnsi="Arial" w:cs="Arial"/>
          <w:sz w:val="28"/>
          <w:szCs w:val="28"/>
        </w:rPr>
        <w:t xml:space="preserve">   Although some witnesses on religious persecution argued for a finding of genocide, the COI did not accept their contention.  It acknowledged the radical reduction of the population of religious adherents in DPRK.  It expressed</w:t>
      </w:r>
      <w:r w:rsidR="00A6089A">
        <w:rPr>
          <w:rFonts w:ascii="Arial" w:hAnsi="Arial" w:cs="Arial"/>
          <w:sz w:val="28"/>
          <w:szCs w:val="28"/>
        </w:rPr>
        <w:t xml:space="preserve"> some</w:t>
      </w:r>
      <w:r>
        <w:rPr>
          <w:rFonts w:ascii="Arial" w:hAnsi="Arial" w:cs="Arial"/>
          <w:sz w:val="28"/>
          <w:szCs w:val="28"/>
        </w:rPr>
        <w:t xml:space="preserve"> sympathy for a larger definition of ‘genocide’ in current international circumstance.  However, it postponed any finding to that effect because the relevant evidence was “difficult or impossible to [gather] without access to the relevant archives of DPRK”.</w:t>
      </w:r>
      <w:r w:rsidR="00F455BB" w:rsidRPr="00F455BB">
        <w:rPr>
          <w:rFonts w:ascii="Arial" w:hAnsi="Arial" w:cs="Arial"/>
          <w:sz w:val="28"/>
          <w:szCs w:val="28"/>
          <w:vertAlign w:val="superscript"/>
        </w:rPr>
        <w:footnoteReference w:id="23"/>
      </w:r>
      <w:r>
        <w:rPr>
          <w:rFonts w:ascii="Arial" w:hAnsi="Arial" w:cs="Arial"/>
          <w:sz w:val="28"/>
          <w:szCs w:val="28"/>
        </w:rPr>
        <w:t xml:space="preserve">  Care was observed</w:t>
      </w:r>
      <w:r w:rsidR="00B546F7" w:rsidRPr="00B546F7">
        <w:rPr>
          <w:rFonts w:ascii="Arial" w:hAnsi="Arial" w:cs="Arial"/>
          <w:sz w:val="28"/>
          <w:szCs w:val="28"/>
        </w:rPr>
        <w:t xml:space="preserve"> both</w:t>
      </w:r>
      <w:r>
        <w:rPr>
          <w:rFonts w:ascii="Arial" w:hAnsi="Arial" w:cs="Arial"/>
          <w:sz w:val="28"/>
          <w:szCs w:val="28"/>
        </w:rPr>
        <w:t xml:space="preserve"> in conducting confidential interviews and in undertaking the public hearings, to pose questions in such a way as to extract only first-hand information known to the speaker.  It was not necessary </w:t>
      </w:r>
      <w:r w:rsidR="00A6089A">
        <w:rPr>
          <w:rFonts w:ascii="Arial" w:hAnsi="Arial" w:cs="Arial"/>
          <w:sz w:val="28"/>
          <w:szCs w:val="28"/>
        </w:rPr>
        <w:t>to</w:t>
      </w:r>
      <w:r>
        <w:rPr>
          <w:rFonts w:ascii="Arial" w:hAnsi="Arial" w:cs="Arial"/>
          <w:sz w:val="28"/>
          <w:szCs w:val="28"/>
        </w:rPr>
        <w:t xml:space="preserve"> its conclusions for the COI to rely on second-hand or</w:t>
      </w:r>
      <w:r w:rsidR="009A409C">
        <w:rPr>
          <w:rFonts w:ascii="Arial" w:hAnsi="Arial" w:cs="Arial"/>
          <w:sz w:val="28"/>
          <w:szCs w:val="28"/>
        </w:rPr>
        <w:t xml:space="preserve"> purely</w:t>
      </w:r>
      <w:r>
        <w:rPr>
          <w:rFonts w:ascii="Arial" w:hAnsi="Arial" w:cs="Arial"/>
          <w:sz w:val="28"/>
          <w:szCs w:val="28"/>
        </w:rPr>
        <w:t xml:space="preserve"> hearsay accounts;</w:t>
      </w:r>
    </w:p>
    <w:p w14:paraId="225A979F" w14:textId="526CCDF9" w:rsidR="00A22629" w:rsidRDefault="00A22629" w:rsidP="00B70372">
      <w:pPr>
        <w:pStyle w:val="ListParagraph"/>
        <w:numPr>
          <w:ilvl w:val="0"/>
          <w:numId w:val="27"/>
        </w:numPr>
        <w:spacing w:line="360" w:lineRule="auto"/>
        <w:jc w:val="both"/>
        <w:rPr>
          <w:rFonts w:ascii="Arial" w:hAnsi="Arial" w:cs="Arial"/>
          <w:sz w:val="28"/>
          <w:szCs w:val="28"/>
        </w:rPr>
      </w:pPr>
      <w:r>
        <w:rPr>
          <w:rFonts w:ascii="Arial" w:hAnsi="Arial" w:cs="Arial"/>
          <w:sz w:val="28"/>
          <w:szCs w:val="28"/>
        </w:rPr>
        <w:t>Whilst it is true that cultural considerations are relevant to testimony received through interpreters, this is an inescapable feature of collecting evidence in multicultu</w:t>
      </w:r>
      <w:r w:rsidR="00B546F7">
        <w:rPr>
          <w:rFonts w:ascii="Arial" w:hAnsi="Arial" w:cs="Arial"/>
          <w:sz w:val="28"/>
          <w:szCs w:val="28"/>
        </w:rPr>
        <w:t xml:space="preserve">ral societies, including those </w:t>
      </w:r>
      <w:r>
        <w:rPr>
          <w:rFonts w:ascii="Arial" w:hAnsi="Arial" w:cs="Arial"/>
          <w:sz w:val="28"/>
          <w:szCs w:val="28"/>
        </w:rPr>
        <w:t>f</w:t>
      </w:r>
      <w:r w:rsidR="00B546F7">
        <w:rPr>
          <w:rFonts w:ascii="Arial" w:hAnsi="Arial" w:cs="Arial"/>
          <w:sz w:val="28"/>
          <w:szCs w:val="28"/>
        </w:rPr>
        <w:t>rom which</w:t>
      </w:r>
      <w:r>
        <w:rPr>
          <w:rFonts w:ascii="Arial" w:hAnsi="Arial" w:cs="Arial"/>
          <w:sz w:val="28"/>
          <w:szCs w:val="28"/>
        </w:rPr>
        <w:t xml:space="preserve"> each of the commissioners and members of the secretariat</w:t>
      </w:r>
      <w:r w:rsidR="00B546F7">
        <w:rPr>
          <w:rFonts w:ascii="Arial" w:hAnsi="Arial" w:cs="Arial"/>
          <w:sz w:val="28"/>
          <w:szCs w:val="28"/>
        </w:rPr>
        <w:t xml:space="preserve"> derived</w:t>
      </w:r>
      <w:r>
        <w:rPr>
          <w:rFonts w:ascii="Arial" w:hAnsi="Arial" w:cs="Arial"/>
          <w:sz w:val="28"/>
          <w:szCs w:val="28"/>
        </w:rPr>
        <w:t xml:space="preserve">.  There is nothing </w:t>
      </w:r>
      <w:r w:rsidR="00066A62">
        <w:rPr>
          <w:rFonts w:ascii="Arial" w:hAnsi="Arial" w:cs="Arial"/>
          <w:sz w:val="28"/>
          <w:szCs w:val="28"/>
        </w:rPr>
        <w:t>peculiar</w:t>
      </w:r>
      <w:r>
        <w:rPr>
          <w:rFonts w:ascii="Arial" w:hAnsi="Arial" w:cs="Arial"/>
          <w:sz w:val="28"/>
          <w:szCs w:val="28"/>
        </w:rPr>
        <w:t xml:space="preserve"> or special to the DPRK in this regard.  Many of the conclusions reached by the COI are similar to those earlier and subsequently recorded by  Korean civil society organisations</w:t>
      </w:r>
      <w:r w:rsidR="00B546F7">
        <w:rPr>
          <w:rFonts w:ascii="Arial" w:hAnsi="Arial" w:cs="Arial"/>
          <w:sz w:val="28"/>
          <w:szCs w:val="28"/>
        </w:rPr>
        <w:t xml:space="preserve"> in South Korea</w:t>
      </w:r>
      <w:r>
        <w:rPr>
          <w:rFonts w:ascii="Arial" w:hAnsi="Arial" w:cs="Arial"/>
          <w:sz w:val="28"/>
          <w:szCs w:val="28"/>
        </w:rPr>
        <w:t xml:space="preserve"> that have conducted their interviews in the Korean language, questioned by Korean</w:t>
      </w:r>
      <w:r w:rsidR="00B546F7">
        <w:rPr>
          <w:rFonts w:ascii="Arial" w:hAnsi="Arial" w:cs="Arial"/>
          <w:sz w:val="28"/>
          <w:szCs w:val="28"/>
        </w:rPr>
        <w:t xml:space="preserve"> native speakers</w:t>
      </w:r>
      <w:r>
        <w:rPr>
          <w:rFonts w:ascii="Arial" w:hAnsi="Arial" w:cs="Arial"/>
          <w:sz w:val="28"/>
          <w:szCs w:val="28"/>
        </w:rPr>
        <w:t xml:space="preserve">.  On the issue of gender, the COI adopted a practice of ensuring, so far as possible, that female witnesses were interviewed confidentially by female investigators.  Many of </w:t>
      </w:r>
      <w:r>
        <w:rPr>
          <w:rFonts w:ascii="Arial" w:hAnsi="Arial" w:cs="Arial"/>
          <w:sz w:val="28"/>
          <w:szCs w:val="28"/>
        </w:rPr>
        <w:lastRenderedPageBreak/>
        <w:t xml:space="preserve">the female witnesses in the public hearings of the COI were questioned </w:t>
      </w:r>
      <w:r w:rsidR="00B546F7">
        <w:rPr>
          <w:rFonts w:ascii="Arial" w:hAnsi="Arial" w:cs="Arial"/>
          <w:sz w:val="28"/>
          <w:szCs w:val="28"/>
        </w:rPr>
        <w:t xml:space="preserve">primarily </w:t>
      </w:r>
      <w:r>
        <w:rPr>
          <w:rFonts w:ascii="Arial" w:hAnsi="Arial" w:cs="Arial"/>
          <w:sz w:val="28"/>
          <w:szCs w:val="28"/>
        </w:rPr>
        <w:t>by Commissioner Sonj</w:t>
      </w:r>
      <w:r w:rsidR="00B546F7">
        <w:rPr>
          <w:rFonts w:ascii="Arial" w:hAnsi="Arial" w:cs="Arial"/>
          <w:sz w:val="28"/>
          <w:szCs w:val="28"/>
        </w:rPr>
        <w:t>a Biserko in the first instance; and</w:t>
      </w:r>
      <w:r>
        <w:rPr>
          <w:rFonts w:ascii="Arial" w:hAnsi="Arial" w:cs="Arial"/>
          <w:sz w:val="28"/>
          <w:szCs w:val="28"/>
        </w:rPr>
        <w:t xml:space="preserve">  </w:t>
      </w:r>
    </w:p>
    <w:p w14:paraId="4B735F9B" w14:textId="23FBC030" w:rsidR="00B546F7" w:rsidRDefault="00A22629" w:rsidP="00B70372">
      <w:pPr>
        <w:pStyle w:val="ListParagraph"/>
        <w:numPr>
          <w:ilvl w:val="0"/>
          <w:numId w:val="27"/>
        </w:numPr>
        <w:spacing w:line="360" w:lineRule="auto"/>
        <w:jc w:val="both"/>
        <w:rPr>
          <w:rFonts w:ascii="Arial" w:hAnsi="Arial" w:cs="Arial"/>
          <w:sz w:val="28"/>
          <w:szCs w:val="28"/>
        </w:rPr>
      </w:pPr>
      <w:r>
        <w:rPr>
          <w:rFonts w:ascii="Arial" w:hAnsi="Arial" w:cs="Arial"/>
          <w:sz w:val="28"/>
          <w:szCs w:val="28"/>
        </w:rPr>
        <w:t>Finally, so far as the evidence of Shin</w:t>
      </w:r>
      <w:r w:rsidR="00A6089A">
        <w:rPr>
          <w:rFonts w:ascii="Arial" w:hAnsi="Arial" w:cs="Arial"/>
          <w:sz w:val="28"/>
          <w:szCs w:val="28"/>
        </w:rPr>
        <w:t xml:space="preserve"> Dong-hyuk</w:t>
      </w:r>
      <w:r>
        <w:rPr>
          <w:rFonts w:ascii="Arial" w:hAnsi="Arial" w:cs="Arial"/>
          <w:sz w:val="28"/>
          <w:szCs w:val="28"/>
        </w:rPr>
        <w:t xml:space="preserve"> was concerned, adjustment can be readily made for his recantation and</w:t>
      </w:r>
      <w:r w:rsidR="00B546F7">
        <w:rPr>
          <w:rFonts w:ascii="Arial" w:hAnsi="Arial" w:cs="Arial"/>
          <w:sz w:val="28"/>
          <w:szCs w:val="28"/>
        </w:rPr>
        <w:t xml:space="preserve"> the</w:t>
      </w:r>
      <w:r>
        <w:rPr>
          <w:rFonts w:ascii="Arial" w:hAnsi="Arial" w:cs="Arial"/>
          <w:sz w:val="28"/>
          <w:szCs w:val="28"/>
        </w:rPr>
        <w:t xml:space="preserve"> withdrawal of</w:t>
      </w:r>
      <w:r w:rsidR="00B546F7">
        <w:rPr>
          <w:rFonts w:ascii="Arial" w:hAnsi="Arial" w:cs="Arial"/>
          <w:sz w:val="28"/>
          <w:szCs w:val="28"/>
        </w:rPr>
        <w:t xml:space="preserve"> his</w:t>
      </w:r>
      <w:r>
        <w:rPr>
          <w:rFonts w:ascii="Arial" w:hAnsi="Arial" w:cs="Arial"/>
          <w:sz w:val="28"/>
          <w:szCs w:val="28"/>
        </w:rPr>
        <w:t xml:space="preserve"> testimony that he </w:t>
      </w:r>
      <w:r w:rsidR="00B546F7">
        <w:rPr>
          <w:rFonts w:ascii="Arial" w:hAnsi="Arial" w:cs="Arial"/>
          <w:sz w:val="28"/>
          <w:szCs w:val="28"/>
        </w:rPr>
        <w:t>had been</w:t>
      </w:r>
      <w:r>
        <w:rPr>
          <w:rFonts w:ascii="Arial" w:hAnsi="Arial" w:cs="Arial"/>
          <w:sz w:val="28"/>
          <w:szCs w:val="28"/>
        </w:rPr>
        <w:t xml:space="preserve"> detained in Camp 14 </w:t>
      </w:r>
      <w:r w:rsidR="00B546F7">
        <w:rPr>
          <w:rFonts w:ascii="Arial" w:hAnsi="Arial" w:cs="Arial"/>
          <w:sz w:val="28"/>
          <w:szCs w:val="28"/>
        </w:rPr>
        <w:t>(as well as certain</w:t>
      </w:r>
      <w:r>
        <w:rPr>
          <w:rFonts w:ascii="Arial" w:hAnsi="Arial" w:cs="Arial"/>
          <w:sz w:val="28"/>
          <w:szCs w:val="28"/>
        </w:rPr>
        <w:t xml:space="preserve"> other evidence</w:t>
      </w:r>
      <w:r w:rsidR="00B546F7">
        <w:rPr>
          <w:rFonts w:ascii="Arial" w:hAnsi="Arial" w:cs="Arial"/>
          <w:sz w:val="28"/>
          <w:szCs w:val="28"/>
        </w:rPr>
        <w:t xml:space="preserve"> he had given</w:t>
      </w:r>
      <w:r>
        <w:rPr>
          <w:rFonts w:ascii="Arial" w:hAnsi="Arial" w:cs="Arial"/>
          <w:sz w:val="28"/>
          <w:szCs w:val="28"/>
        </w:rPr>
        <w:t xml:space="preserve"> about his parents</w:t>
      </w:r>
      <w:r w:rsidR="00B546F7">
        <w:rPr>
          <w:rFonts w:ascii="Arial" w:hAnsi="Arial" w:cs="Arial"/>
          <w:sz w:val="28"/>
          <w:szCs w:val="28"/>
        </w:rPr>
        <w:t>)</w:t>
      </w:r>
      <w:r>
        <w:rPr>
          <w:rFonts w:ascii="Arial" w:hAnsi="Arial" w:cs="Arial"/>
          <w:sz w:val="28"/>
          <w:szCs w:val="28"/>
        </w:rPr>
        <w:t>.  That</w:t>
      </w:r>
      <w:r w:rsidR="00A6089A">
        <w:rPr>
          <w:rFonts w:ascii="Arial" w:hAnsi="Arial" w:cs="Arial"/>
          <w:sz w:val="28"/>
          <w:szCs w:val="28"/>
        </w:rPr>
        <w:t xml:space="preserve"> still </w:t>
      </w:r>
      <w:r>
        <w:rPr>
          <w:rFonts w:ascii="Arial" w:hAnsi="Arial" w:cs="Arial"/>
          <w:sz w:val="28"/>
          <w:szCs w:val="28"/>
        </w:rPr>
        <w:t xml:space="preserve">left evidence by Shin that </w:t>
      </w:r>
      <w:r w:rsidR="009A409C">
        <w:rPr>
          <w:rFonts w:ascii="Arial" w:hAnsi="Arial" w:cs="Arial"/>
          <w:sz w:val="28"/>
          <w:szCs w:val="28"/>
        </w:rPr>
        <w:t>appeared</w:t>
      </w:r>
      <w:r>
        <w:rPr>
          <w:rFonts w:ascii="Arial" w:hAnsi="Arial" w:cs="Arial"/>
          <w:sz w:val="28"/>
          <w:szCs w:val="28"/>
        </w:rPr>
        <w:t xml:space="preserve"> entirely reliable and corroborated by other witnesses.  In any case, the quotations from Shin’s testimony</w:t>
      </w:r>
      <w:r w:rsidR="00B546F7">
        <w:rPr>
          <w:rFonts w:ascii="Arial" w:hAnsi="Arial" w:cs="Arial"/>
          <w:sz w:val="28"/>
          <w:szCs w:val="28"/>
        </w:rPr>
        <w:t xml:space="preserve"> actually contained</w:t>
      </w:r>
      <w:r>
        <w:rPr>
          <w:rFonts w:ascii="Arial" w:hAnsi="Arial" w:cs="Arial"/>
          <w:sz w:val="28"/>
          <w:szCs w:val="28"/>
        </w:rPr>
        <w:t xml:space="preserve"> in the COI repor</w:t>
      </w:r>
      <w:r w:rsidR="00E42CE3">
        <w:rPr>
          <w:rFonts w:ascii="Arial" w:hAnsi="Arial" w:cs="Arial"/>
          <w:sz w:val="28"/>
          <w:szCs w:val="28"/>
        </w:rPr>
        <w:t>t are</w:t>
      </w:r>
      <w:r w:rsidR="00B546F7">
        <w:rPr>
          <w:rFonts w:ascii="Arial" w:hAnsi="Arial" w:cs="Arial"/>
          <w:sz w:val="28"/>
          <w:szCs w:val="28"/>
        </w:rPr>
        <w:t xml:space="preserve"> relatively</w:t>
      </w:r>
      <w:r w:rsidR="00E42CE3">
        <w:rPr>
          <w:rFonts w:ascii="Arial" w:hAnsi="Arial" w:cs="Arial"/>
          <w:sz w:val="28"/>
          <w:szCs w:val="28"/>
        </w:rPr>
        <w:t xml:space="preserve"> few and immaterial to the point of recantation.  </w:t>
      </w:r>
      <w:r w:rsidR="00B546F7">
        <w:rPr>
          <w:rFonts w:ascii="Arial" w:hAnsi="Arial" w:cs="Arial"/>
          <w:sz w:val="28"/>
          <w:szCs w:val="28"/>
        </w:rPr>
        <w:t>No</w:t>
      </w:r>
      <w:r w:rsidR="00E42CE3">
        <w:rPr>
          <w:rFonts w:ascii="Arial" w:hAnsi="Arial" w:cs="Arial"/>
          <w:sz w:val="28"/>
          <w:szCs w:val="28"/>
        </w:rPr>
        <w:t xml:space="preserve">ne of the other persons named </w:t>
      </w:r>
      <w:r w:rsidR="00B546F7">
        <w:rPr>
          <w:rFonts w:ascii="Arial" w:hAnsi="Arial" w:cs="Arial"/>
          <w:sz w:val="28"/>
          <w:szCs w:val="28"/>
        </w:rPr>
        <w:t xml:space="preserve">as unreliable </w:t>
      </w:r>
      <w:r w:rsidR="00E42CE3">
        <w:rPr>
          <w:rFonts w:ascii="Arial" w:hAnsi="Arial" w:cs="Arial"/>
          <w:sz w:val="28"/>
          <w:szCs w:val="28"/>
        </w:rPr>
        <w:t xml:space="preserve">by Ms Song gave public evidence or were relied on </w:t>
      </w:r>
      <w:r w:rsidR="00066A62">
        <w:rPr>
          <w:rFonts w:ascii="Arial" w:hAnsi="Arial" w:cs="Arial"/>
          <w:sz w:val="28"/>
          <w:szCs w:val="28"/>
        </w:rPr>
        <w:t xml:space="preserve">by the COI or its secretariat.  </w:t>
      </w:r>
    </w:p>
    <w:p w14:paraId="51CE15B0" w14:textId="77777777" w:rsidR="00B546F7" w:rsidRDefault="00B546F7" w:rsidP="00B546F7">
      <w:pPr>
        <w:spacing w:line="360" w:lineRule="auto"/>
        <w:ind w:left="360"/>
        <w:jc w:val="both"/>
        <w:rPr>
          <w:rFonts w:ascii="Arial" w:hAnsi="Arial" w:cs="Arial"/>
          <w:sz w:val="28"/>
          <w:szCs w:val="28"/>
        </w:rPr>
      </w:pPr>
    </w:p>
    <w:p w14:paraId="18A5E4EE" w14:textId="3485A1E4" w:rsidR="00066A62" w:rsidRPr="00B546F7" w:rsidRDefault="009A409C" w:rsidP="00B546F7">
      <w:pPr>
        <w:spacing w:line="360" w:lineRule="auto"/>
        <w:ind w:left="360"/>
        <w:jc w:val="both"/>
        <w:rPr>
          <w:rFonts w:ascii="Arial" w:hAnsi="Arial" w:cs="Arial"/>
          <w:sz w:val="28"/>
          <w:szCs w:val="28"/>
        </w:rPr>
      </w:pPr>
      <w:r>
        <w:rPr>
          <w:rFonts w:ascii="Arial" w:hAnsi="Arial" w:cs="Arial"/>
          <w:sz w:val="28"/>
          <w:szCs w:val="28"/>
        </w:rPr>
        <w:t>In the big picture</w:t>
      </w:r>
      <w:r w:rsidR="00066A62" w:rsidRPr="00B546F7">
        <w:rPr>
          <w:rFonts w:ascii="Arial" w:hAnsi="Arial" w:cs="Arial"/>
          <w:sz w:val="28"/>
          <w:szCs w:val="28"/>
        </w:rPr>
        <w:t xml:space="preserve"> of human rights violations found to be “systematic, widespread and gross” extending over many years and affecting millions of people, the subtraction of part of the </w:t>
      </w:r>
      <w:r w:rsidR="00B546F7">
        <w:rPr>
          <w:rFonts w:ascii="Arial" w:hAnsi="Arial" w:cs="Arial"/>
          <w:sz w:val="28"/>
          <w:szCs w:val="28"/>
        </w:rPr>
        <w:t>testimony</w:t>
      </w:r>
      <w:r w:rsidR="00066A62" w:rsidRPr="00B546F7">
        <w:rPr>
          <w:rFonts w:ascii="Arial" w:hAnsi="Arial" w:cs="Arial"/>
          <w:sz w:val="28"/>
          <w:szCs w:val="28"/>
        </w:rPr>
        <w:t xml:space="preserve"> of Shin Dong-hyuk has no consequence for the impact of the witness testimony</w:t>
      </w:r>
      <w:r w:rsidR="00B546F7">
        <w:rPr>
          <w:rFonts w:ascii="Arial" w:hAnsi="Arial" w:cs="Arial"/>
          <w:sz w:val="28"/>
          <w:szCs w:val="28"/>
        </w:rPr>
        <w:t xml:space="preserve"> to the COI report</w:t>
      </w:r>
      <w:r w:rsidR="00066A62" w:rsidRPr="00B546F7">
        <w:rPr>
          <w:rFonts w:ascii="Arial" w:hAnsi="Arial" w:cs="Arial"/>
          <w:sz w:val="28"/>
          <w:szCs w:val="28"/>
        </w:rPr>
        <w:t>.  It does not require withdrawal of a single conclusion or recommendation</w:t>
      </w:r>
      <w:r>
        <w:rPr>
          <w:rFonts w:ascii="Arial" w:hAnsi="Arial" w:cs="Arial"/>
          <w:sz w:val="28"/>
          <w:szCs w:val="28"/>
        </w:rPr>
        <w:t xml:space="preserve"> expressed by the COI</w:t>
      </w:r>
      <w:r w:rsidR="00066A62" w:rsidRPr="00B546F7">
        <w:rPr>
          <w:rFonts w:ascii="Arial" w:hAnsi="Arial" w:cs="Arial"/>
          <w:sz w:val="28"/>
          <w:szCs w:val="28"/>
        </w:rPr>
        <w:t>.  Any more than, in municipal jurisdiction, conclusions and recommendations of a large and significant inquiry would have to be withdrawn</w:t>
      </w:r>
      <w:r w:rsidR="00B546F7">
        <w:rPr>
          <w:rFonts w:ascii="Arial" w:hAnsi="Arial" w:cs="Arial"/>
          <w:sz w:val="28"/>
          <w:szCs w:val="28"/>
        </w:rPr>
        <w:t xml:space="preserve"> in</w:t>
      </w:r>
      <w:r>
        <w:rPr>
          <w:rFonts w:ascii="Arial" w:hAnsi="Arial" w:cs="Arial"/>
          <w:sz w:val="28"/>
          <w:szCs w:val="28"/>
        </w:rPr>
        <w:t xml:space="preserve"> their</w:t>
      </w:r>
      <w:r w:rsidR="00B546F7">
        <w:rPr>
          <w:rFonts w:ascii="Arial" w:hAnsi="Arial" w:cs="Arial"/>
          <w:sz w:val="28"/>
          <w:szCs w:val="28"/>
        </w:rPr>
        <w:t xml:space="preserve"> entirety</w:t>
      </w:r>
      <w:r w:rsidR="00066A62" w:rsidRPr="00B546F7">
        <w:rPr>
          <w:rFonts w:ascii="Arial" w:hAnsi="Arial" w:cs="Arial"/>
          <w:sz w:val="28"/>
          <w:szCs w:val="28"/>
        </w:rPr>
        <w:t xml:space="preserve"> because it was later found that part</w:t>
      </w:r>
      <w:r w:rsidR="00803EE4">
        <w:rPr>
          <w:rFonts w:ascii="Arial" w:hAnsi="Arial" w:cs="Arial"/>
          <w:sz w:val="28"/>
          <w:szCs w:val="28"/>
        </w:rPr>
        <w:t>s</w:t>
      </w:r>
      <w:r w:rsidR="00066A62" w:rsidRPr="00B546F7">
        <w:rPr>
          <w:rFonts w:ascii="Arial" w:hAnsi="Arial" w:cs="Arial"/>
          <w:sz w:val="28"/>
          <w:szCs w:val="28"/>
        </w:rPr>
        <w:t xml:space="preserve"> of the testimony of one </w:t>
      </w:r>
      <w:r w:rsidR="00A6089A">
        <w:rPr>
          <w:rFonts w:ascii="Arial" w:hAnsi="Arial" w:cs="Arial"/>
          <w:sz w:val="28"/>
          <w:szCs w:val="28"/>
        </w:rPr>
        <w:t>witness</w:t>
      </w:r>
      <w:r w:rsidR="00066A62" w:rsidRPr="00B546F7">
        <w:rPr>
          <w:rFonts w:ascii="Arial" w:hAnsi="Arial" w:cs="Arial"/>
          <w:sz w:val="28"/>
          <w:szCs w:val="28"/>
        </w:rPr>
        <w:t xml:space="preserve"> w</w:t>
      </w:r>
      <w:r w:rsidR="00803EE4">
        <w:rPr>
          <w:rFonts w:ascii="Arial" w:hAnsi="Arial" w:cs="Arial"/>
          <w:sz w:val="28"/>
          <w:szCs w:val="28"/>
        </w:rPr>
        <w:t>ere</w:t>
      </w:r>
      <w:r w:rsidR="00066A62" w:rsidRPr="00B546F7">
        <w:rPr>
          <w:rFonts w:ascii="Arial" w:hAnsi="Arial" w:cs="Arial"/>
          <w:sz w:val="28"/>
          <w:szCs w:val="28"/>
        </w:rPr>
        <w:t xml:space="preserve"> </w:t>
      </w:r>
      <w:r w:rsidR="00A6089A">
        <w:rPr>
          <w:rFonts w:ascii="Arial" w:hAnsi="Arial" w:cs="Arial"/>
          <w:sz w:val="28"/>
          <w:szCs w:val="28"/>
        </w:rPr>
        <w:t>false</w:t>
      </w:r>
      <w:r w:rsidR="00066A62" w:rsidRPr="00B546F7">
        <w:rPr>
          <w:rFonts w:ascii="Arial" w:hAnsi="Arial" w:cs="Arial"/>
          <w:sz w:val="28"/>
          <w:szCs w:val="28"/>
        </w:rPr>
        <w:t>, careless or exaggerated</w:t>
      </w:r>
      <w:r w:rsidR="00B546F7">
        <w:rPr>
          <w:rFonts w:ascii="Arial" w:hAnsi="Arial" w:cs="Arial"/>
          <w:sz w:val="28"/>
          <w:szCs w:val="28"/>
        </w:rPr>
        <w:t xml:space="preserve"> in identified respects</w:t>
      </w:r>
      <w:r w:rsidR="00066A62" w:rsidRPr="00B546F7">
        <w:rPr>
          <w:rFonts w:ascii="Arial" w:hAnsi="Arial" w:cs="Arial"/>
          <w:sz w:val="28"/>
          <w:szCs w:val="28"/>
        </w:rPr>
        <w:t xml:space="preserve">. </w:t>
      </w:r>
    </w:p>
    <w:p w14:paraId="508C42B9" w14:textId="3641AA14" w:rsidR="00A22629" w:rsidRDefault="00A22629" w:rsidP="00066A62">
      <w:pPr>
        <w:spacing w:line="360" w:lineRule="auto"/>
        <w:jc w:val="both"/>
        <w:rPr>
          <w:rFonts w:ascii="Arial" w:hAnsi="Arial" w:cs="Arial"/>
          <w:sz w:val="28"/>
          <w:szCs w:val="28"/>
        </w:rPr>
      </w:pPr>
    </w:p>
    <w:p w14:paraId="10268BF9" w14:textId="11E14A50" w:rsidR="00066A62" w:rsidRDefault="00066A62" w:rsidP="00066A62">
      <w:pPr>
        <w:spacing w:line="360" w:lineRule="auto"/>
        <w:jc w:val="both"/>
        <w:rPr>
          <w:rFonts w:ascii="Arial" w:hAnsi="Arial" w:cs="Arial"/>
          <w:sz w:val="28"/>
          <w:szCs w:val="28"/>
        </w:rPr>
      </w:pPr>
      <w:r>
        <w:rPr>
          <w:rFonts w:ascii="Arial" w:hAnsi="Arial" w:cs="Arial"/>
          <w:sz w:val="28"/>
          <w:szCs w:val="28"/>
        </w:rPr>
        <w:t>Reflecting on the recantation</w:t>
      </w:r>
      <w:r w:rsidR="00B546F7">
        <w:rPr>
          <w:rFonts w:ascii="Arial" w:hAnsi="Arial" w:cs="Arial"/>
          <w:sz w:val="28"/>
          <w:szCs w:val="28"/>
        </w:rPr>
        <w:t xml:space="preserve"> by Shin</w:t>
      </w:r>
      <w:r>
        <w:rPr>
          <w:rFonts w:ascii="Arial" w:hAnsi="Arial" w:cs="Arial"/>
          <w:sz w:val="28"/>
          <w:szCs w:val="28"/>
        </w:rPr>
        <w:t>, Blaine Harden wrote in August 2015 in language that is convincing:</w:t>
      </w:r>
      <w:r w:rsidR="00F455BB" w:rsidRPr="00F455BB">
        <w:rPr>
          <w:rFonts w:ascii="Arial" w:hAnsi="Arial" w:cs="Arial"/>
          <w:sz w:val="28"/>
          <w:szCs w:val="28"/>
          <w:vertAlign w:val="superscript"/>
        </w:rPr>
        <w:t xml:space="preserve"> </w:t>
      </w:r>
      <w:r w:rsidR="00F455BB" w:rsidRPr="00F455BB">
        <w:rPr>
          <w:rFonts w:ascii="Arial" w:hAnsi="Arial" w:cs="Arial"/>
          <w:sz w:val="28"/>
          <w:szCs w:val="28"/>
          <w:vertAlign w:val="superscript"/>
        </w:rPr>
        <w:footnoteReference w:id="24"/>
      </w:r>
      <w:r w:rsidR="00B546F7" w:rsidRPr="00B546F7">
        <w:rPr>
          <w:rFonts w:ascii="Arial" w:hAnsi="Arial" w:cs="Arial"/>
          <w:sz w:val="28"/>
          <w:szCs w:val="28"/>
          <w:vertAlign w:val="superscript"/>
        </w:rPr>
        <w:t xml:space="preserve"> </w:t>
      </w:r>
    </w:p>
    <w:p w14:paraId="18374EAC" w14:textId="77777777" w:rsidR="00066A62" w:rsidRDefault="00066A62" w:rsidP="00066A62">
      <w:pPr>
        <w:spacing w:line="360" w:lineRule="auto"/>
        <w:jc w:val="both"/>
        <w:rPr>
          <w:rFonts w:ascii="Arial" w:hAnsi="Arial" w:cs="Arial"/>
          <w:sz w:val="28"/>
          <w:szCs w:val="28"/>
        </w:rPr>
      </w:pPr>
    </w:p>
    <w:p w14:paraId="1CD1E52B" w14:textId="5B22C284" w:rsidR="00066A62" w:rsidRDefault="00066A62" w:rsidP="00066A62">
      <w:pPr>
        <w:spacing w:line="360" w:lineRule="auto"/>
        <w:ind w:left="720"/>
        <w:jc w:val="both"/>
        <w:rPr>
          <w:sz w:val="28"/>
          <w:szCs w:val="28"/>
        </w:rPr>
      </w:pPr>
      <w:r>
        <w:rPr>
          <w:sz w:val="28"/>
          <w:szCs w:val="28"/>
        </w:rPr>
        <w:t>“If there’s one tru</w:t>
      </w:r>
      <w:r w:rsidR="00A6089A">
        <w:rPr>
          <w:sz w:val="28"/>
          <w:szCs w:val="28"/>
        </w:rPr>
        <w:t>th to be gleaned from… memoirs [</w:t>
      </w:r>
      <w:r>
        <w:rPr>
          <w:sz w:val="28"/>
          <w:szCs w:val="28"/>
        </w:rPr>
        <w:t>of escapees from DPRK], it is about the centrality of lying.  For me, it is a haunting issue.  Shin Dong-hyuk, the subject of my 2012 book, “Escape from Camp 14”, misled me for 7 years about some details of his life in North Korea’s gulag.  When I asked him why had done it, he said the complete truth was simply too painful.  He chose to tell me (and human rights groups and UN investigators) an expurgated story, which he wore as body armor for life in the free world.  It protected him from trauma he was unwilling to relive.  It hid behaviour he was ashamed to disclose.  He had no idea, he said, that the precise details of his life would ever be considered important.  Shin’s experience in North Korea was particularly gruesome.  His body is covered with scars from repeated torture.  He is stunted from malnutrition.  As a young teen, he betrayed his mother and brother, causing their execution.  Psychologists agree that victims of such severe trauma almost always tell stories that are fragmented, self-protective and intermittently untrue.  But Shin’s relationship to the truth is not completely foreign to other defectors now writing memoirs.  …</w:t>
      </w:r>
      <w:r w:rsidR="000A4C96">
        <w:rPr>
          <w:sz w:val="28"/>
          <w:szCs w:val="28"/>
        </w:rPr>
        <w:t xml:space="preserve"> Some sk</w:t>
      </w:r>
      <w:r>
        <w:rPr>
          <w:sz w:val="28"/>
          <w:szCs w:val="28"/>
        </w:rPr>
        <w:t>epticism</w:t>
      </w:r>
      <w:r w:rsidR="003776B3">
        <w:rPr>
          <w:sz w:val="28"/>
          <w:szCs w:val="28"/>
        </w:rPr>
        <w:t xml:space="preserve">, then, is probably in order for readers coming fresh to memoirs about North Korea.  But for what it’s worth, I believe these books.  They are consistent with a recent UN investigation that found overwhelming evidence that crimes against humanity are being committed in North Korea.  </w:t>
      </w:r>
      <w:r w:rsidR="003C02DC">
        <w:rPr>
          <w:sz w:val="28"/>
          <w:szCs w:val="28"/>
        </w:rPr>
        <w:t>For j</w:t>
      </w:r>
      <w:r w:rsidR="003776B3">
        <w:rPr>
          <w:sz w:val="28"/>
          <w:szCs w:val="28"/>
        </w:rPr>
        <w:t>ournalists who have spent hundreds of hours interviewing defectors these memoirs ring true about North Korea’s culture of cruelty and lies.”</w:t>
      </w:r>
    </w:p>
    <w:p w14:paraId="1D4EFC5B" w14:textId="77777777" w:rsidR="002D6704" w:rsidRDefault="002D6704" w:rsidP="003776B3">
      <w:pPr>
        <w:spacing w:line="360" w:lineRule="auto"/>
        <w:jc w:val="both"/>
        <w:rPr>
          <w:rFonts w:ascii="Arial" w:hAnsi="Arial" w:cs="Arial"/>
          <w:sz w:val="28"/>
          <w:szCs w:val="28"/>
        </w:rPr>
      </w:pPr>
    </w:p>
    <w:p w14:paraId="541A5AC5" w14:textId="05A0789B" w:rsidR="003776B3" w:rsidRDefault="003776B3" w:rsidP="003776B3">
      <w:pPr>
        <w:spacing w:line="360" w:lineRule="auto"/>
        <w:jc w:val="both"/>
        <w:rPr>
          <w:rFonts w:ascii="Arial" w:hAnsi="Arial" w:cs="Arial"/>
          <w:sz w:val="28"/>
          <w:szCs w:val="28"/>
        </w:rPr>
      </w:pPr>
      <w:r>
        <w:rPr>
          <w:rFonts w:ascii="Arial" w:hAnsi="Arial" w:cs="Arial"/>
          <w:sz w:val="28"/>
          <w:szCs w:val="28"/>
        </w:rPr>
        <w:t xml:space="preserve">Scientists, mathematicians and statisticians </w:t>
      </w:r>
      <w:r w:rsidR="003C02DC">
        <w:rPr>
          <w:rFonts w:ascii="Arial" w:hAnsi="Arial" w:cs="Arial"/>
          <w:sz w:val="28"/>
          <w:szCs w:val="28"/>
        </w:rPr>
        <w:t xml:space="preserve">often </w:t>
      </w:r>
      <w:r>
        <w:rPr>
          <w:rFonts w:ascii="Arial" w:hAnsi="Arial" w:cs="Arial"/>
          <w:sz w:val="28"/>
          <w:szCs w:val="28"/>
        </w:rPr>
        <w:t xml:space="preserve">search for truthful and reliable data.  To the extent that they can work with incontestable facts, objective observations and digital symbols and numbers, their </w:t>
      </w:r>
      <w:r w:rsidR="003C02DC">
        <w:rPr>
          <w:rFonts w:ascii="Arial" w:hAnsi="Arial" w:cs="Arial"/>
          <w:sz w:val="28"/>
          <w:szCs w:val="28"/>
        </w:rPr>
        <w:t>lives are</w:t>
      </w:r>
      <w:r>
        <w:rPr>
          <w:rFonts w:ascii="Arial" w:hAnsi="Arial" w:cs="Arial"/>
          <w:sz w:val="28"/>
          <w:szCs w:val="28"/>
        </w:rPr>
        <w:t xml:space="preserve"> </w:t>
      </w:r>
      <w:r>
        <w:rPr>
          <w:rFonts w:ascii="Arial" w:hAnsi="Arial" w:cs="Arial"/>
          <w:sz w:val="28"/>
          <w:szCs w:val="28"/>
        </w:rPr>
        <w:lastRenderedPageBreak/>
        <w:t>rendered easier.  The uncomfortable features of human</w:t>
      </w:r>
      <w:r w:rsidR="003C02DC">
        <w:rPr>
          <w:rFonts w:ascii="Arial" w:hAnsi="Arial" w:cs="Arial"/>
          <w:sz w:val="28"/>
          <w:szCs w:val="28"/>
        </w:rPr>
        <w:t xml:space="preserve"> imperfections can then, to that</w:t>
      </w:r>
      <w:r>
        <w:rPr>
          <w:rFonts w:ascii="Arial" w:hAnsi="Arial" w:cs="Arial"/>
          <w:sz w:val="28"/>
          <w:szCs w:val="28"/>
        </w:rPr>
        <w:t xml:space="preserve"> extent at least, be subtracted</w:t>
      </w:r>
      <w:r w:rsidR="00803EE4">
        <w:rPr>
          <w:rFonts w:ascii="Arial" w:hAnsi="Arial" w:cs="Arial"/>
          <w:sz w:val="28"/>
          <w:szCs w:val="28"/>
        </w:rPr>
        <w:t xml:space="preserve"> and the remaining evidence reconstituted and re-evaluated</w:t>
      </w:r>
      <w:r>
        <w:rPr>
          <w:rFonts w:ascii="Arial" w:hAnsi="Arial" w:cs="Arial"/>
          <w:sz w:val="28"/>
          <w:szCs w:val="28"/>
        </w:rPr>
        <w:t xml:space="preserve">. </w:t>
      </w:r>
    </w:p>
    <w:p w14:paraId="443E66E4" w14:textId="77777777" w:rsidR="003776B3" w:rsidRDefault="003776B3" w:rsidP="003776B3">
      <w:pPr>
        <w:spacing w:line="360" w:lineRule="auto"/>
        <w:jc w:val="both"/>
        <w:rPr>
          <w:rFonts w:ascii="Arial" w:hAnsi="Arial" w:cs="Arial"/>
          <w:sz w:val="28"/>
          <w:szCs w:val="28"/>
        </w:rPr>
      </w:pPr>
    </w:p>
    <w:p w14:paraId="346CEF52" w14:textId="1635D9BE" w:rsidR="003776B3" w:rsidRDefault="003776B3" w:rsidP="003776B3">
      <w:pPr>
        <w:spacing w:line="360" w:lineRule="auto"/>
        <w:jc w:val="both"/>
        <w:rPr>
          <w:rFonts w:ascii="Arial" w:hAnsi="Arial" w:cs="Arial"/>
          <w:sz w:val="28"/>
          <w:szCs w:val="28"/>
        </w:rPr>
      </w:pPr>
      <w:r>
        <w:rPr>
          <w:rFonts w:ascii="Arial" w:hAnsi="Arial" w:cs="Arial"/>
          <w:sz w:val="28"/>
          <w:szCs w:val="28"/>
        </w:rPr>
        <w:t xml:space="preserve">In resolving disputes and contests over what has happened in the past, or is happening now, in </w:t>
      </w:r>
      <w:r w:rsidR="00A6089A">
        <w:rPr>
          <w:rFonts w:ascii="Arial" w:hAnsi="Arial" w:cs="Arial"/>
          <w:sz w:val="28"/>
          <w:szCs w:val="28"/>
        </w:rPr>
        <w:t>individual</w:t>
      </w:r>
      <w:r>
        <w:rPr>
          <w:rFonts w:ascii="Arial" w:hAnsi="Arial" w:cs="Arial"/>
          <w:sz w:val="28"/>
          <w:szCs w:val="28"/>
        </w:rPr>
        <w:t xml:space="preserve"> countries and in the world, it is</w:t>
      </w:r>
      <w:r w:rsidR="003C02DC">
        <w:rPr>
          <w:rFonts w:ascii="Arial" w:hAnsi="Arial" w:cs="Arial"/>
          <w:sz w:val="28"/>
          <w:szCs w:val="28"/>
        </w:rPr>
        <w:t xml:space="preserve"> usually</w:t>
      </w:r>
      <w:r>
        <w:rPr>
          <w:rFonts w:ascii="Arial" w:hAnsi="Arial" w:cs="Arial"/>
          <w:sz w:val="28"/>
          <w:szCs w:val="28"/>
        </w:rPr>
        <w:t xml:space="preserve"> not so easy to delete the human element.  Decision-makers work wit</w:t>
      </w:r>
      <w:r w:rsidR="003C02DC">
        <w:rPr>
          <w:rFonts w:ascii="Arial" w:hAnsi="Arial" w:cs="Arial"/>
          <w:sz w:val="28"/>
          <w:szCs w:val="28"/>
        </w:rPr>
        <w:t>h imperfect materials.  But these</w:t>
      </w:r>
      <w:r>
        <w:rPr>
          <w:rFonts w:ascii="Arial" w:hAnsi="Arial" w:cs="Arial"/>
          <w:sz w:val="28"/>
          <w:szCs w:val="28"/>
        </w:rPr>
        <w:t xml:space="preserve"> are the materials that make up our societies and our world.  Where the issue presented for decision is straightforward</w:t>
      </w:r>
      <w:r w:rsidR="003C02DC">
        <w:rPr>
          <w:rFonts w:ascii="Arial" w:hAnsi="Arial" w:cs="Arial"/>
          <w:sz w:val="28"/>
          <w:szCs w:val="28"/>
        </w:rPr>
        <w:t>,</w:t>
      </w:r>
      <w:r>
        <w:rPr>
          <w:rFonts w:ascii="Arial" w:hAnsi="Arial" w:cs="Arial"/>
          <w:sz w:val="28"/>
          <w:szCs w:val="28"/>
        </w:rPr>
        <w:t xml:space="preserve"> in a civil case, the question </w:t>
      </w:r>
      <w:r w:rsidR="00803EE4">
        <w:rPr>
          <w:rFonts w:ascii="Arial" w:hAnsi="Arial" w:cs="Arial"/>
          <w:sz w:val="28"/>
          <w:szCs w:val="28"/>
        </w:rPr>
        <w:t xml:space="preserve">as to </w:t>
      </w:r>
      <w:r>
        <w:rPr>
          <w:rFonts w:ascii="Arial" w:hAnsi="Arial" w:cs="Arial"/>
          <w:sz w:val="28"/>
          <w:szCs w:val="28"/>
        </w:rPr>
        <w:t>where truth lies can be pursued by the decision-maker, applying well-</w:t>
      </w:r>
      <w:r w:rsidR="00803EE4">
        <w:rPr>
          <w:rFonts w:ascii="Arial" w:hAnsi="Arial" w:cs="Arial"/>
          <w:sz w:val="28"/>
          <w:szCs w:val="28"/>
        </w:rPr>
        <w:t>k</w:t>
      </w:r>
      <w:r>
        <w:rPr>
          <w:rFonts w:ascii="Arial" w:hAnsi="Arial" w:cs="Arial"/>
          <w:sz w:val="28"/>
          <w:szCs w:val="28"/>
        </w:rPr>
        <w:t>n</w:t>
      </w:r>
      <w:r w:rsidR="00803EE4">
        <w:rPr>
          <w:rFonts w:ascii="Arial" w:hAnsi="Arial" w:cs="Arial"/>
          <w:sz w:val="28"/>
          <w:szCs w:val="28"/>
        </w:rPr>
        <w:t>own</w:t>
      </w:r>
      <w:r>
        <w:rPr>
          <w:rFonts w:ascii="Arial" w:hAnsi="Arial" w:cs="Arial"/>
          <w:sz w:val="28"/>
          <w:szCs w:val="28"/>
        </w:rPr>
        <w:t xml:space="preserve"> rules to come to a conclusion that is probably </w:t>
      </w:r>
      <w:r w:rsidR="003C02DC">
        <w:rPr>
          <w:rFonts w:ascii="Arial" w:hAnsi="Arial" w:cs="Arial"/>
          <w:sz w:val="28"/>
          <w:szCs w:val="28"/>
        </w:rPr>
        <w:t xml:space="preserve">objectively </w:t>
      </w:r>
      <w:r>
        <w:rPr>
          <w:rFonts w:ascii="Arial" w:hAnsi="Arial" w:cs="Arial"/>
          <w:sz w:val="28"/>
          <w:szCs w:val="28"/>
        </w:rPr>
        <w:t xml:space="preserve">correct.  The obligation to give reasons subjects the </w:t>
      </w:r>
      <w:r w:rsidR="003C02DC">
        <w:rPr>
          <w:rFonts w:ascii="Arial" w:hAnsi="Arial" w:cs="Arial"/>
          <w:sz w:val="28"/>
          <w:szCs w:val="28"/>
        </w:rPr>
        <w:t xml:space="preserve">decision maker to discipline and the </w:t>
      </w:r>
      <w:r>
        <w:rPr>
          <w:rFonts w:ascii="Arial" w:hAnsi="Arial" w:cs="Arial"/>
          <w:sz w:val="28"/>
          <w:szCs w:val="28"/>
        </w:rPr>
        <w:t xml:space="preserve">conclusion to analysis and review.  High courts of law may have the last word for </w:t>
      </w:r>
      <w:r w:rsidR="00803EE4">
        <w:rPr>
          <w:rFonts w:ascii="Arial" w:hAnsi="Arial" w:cs="Arial"/>
          <w:sz w:val="28"/>
          <w:szCs w:val="28"/>
        </w:rPr>
        <w:t xml:space="preserve">municipal </w:t>
      </w:r>
      <w:r>
        <w:rPr>
          <w:rFonts w:ascii="Arial" w:hAnsi="Arial" w:cs="Arial"/>
          <w:sz w:val="28"/>
          <w:szCs w:val="28"/>
        </w:rPr>
        <w:t>legal purposes.  But in a free society, that does not prevent other citizens from continuing to question the official decision and possibly to demand fresh analysis and further consideration.</w:t>
      </w:r>
      <w:r w:rsidR="00F455BB" w:rsidRPr="00F455BB">
        <w:rPr>
          <w:rFonts w:ascii="Arial" w:hAnsi="Arial" w:cs="Arial"/>
          <w:sz w:val="28"/>
          <w:szCs w:val="28"/>
          <w:vertAlign w:val="superscript"/>
        </w:rPr>
        <w:footnoteReference w:id="25"/>
      </w:r>
      <w:r w:rsidR="003C02DC" w:rsidRPr="003C02DC">
        <w:rPr>
          <w:rFonts w:ascii="Arial" w:hAnsi="Arial" w:cs="Arial"/>
          <w:sz w:val="28"/>
          <w:szCs w:val="28"/>
          <w:vertAlign w:val="superscript"/>
        </w:rPr>
        <w:t xml:space="preserve"> </w:t>
      </w:r>
    </w:p>
    <w:p w14:paraId="0E202636" w14:textId="77777777" w:rsidR="003776B3" w:rsidRDefault="003776B3" w:rsidP="003776B3">
      <w:pPr>
        <w:spacing w:line="360" w:lineRule="auto"/>
        <w:jc w:val="both"/>
        <w:rPr>
          <w:rFonts w:ascii="Arial" w:hAnsi="Arial" w:cs="Arial"/>
          <w:sz w:val="28"/>
          <w:szCs w:val="28"/>
        </w:rPr>
      </w:pPr>
    </w:p>
    <w:p w14:paraId="0266A8C2" w14:textId="210C1623" w:rsidR="003776B3" w:rsidRDefault="003776B3" w:rsidP="003776B3">
      <w:pPr>
        <w:spacing w:line="360" w:lineRule="auto"/>
        <w:jc w:val="both"/>
        <w:rPr>
          <w:rFonts w:ascii="Arial" w:hAnsi="Arial" w:cs="Arial"/>
          <w:sz w:val="28"/>
          <w:szCs w:val="28"/>
        </w:rPr>
      </w:pPr>
      <w:r>
        <w:rPr>
          <w:rFonts w:ascii="Arial" w:hAnsi="Arial" w:cs="Arial"/>
          <w:sz w:val="28"/>
          <w:szCs w:val="28"/>
        </w:rPr>
        <w:t>Where a case involves c</w:t>
      </w:r>
      <w:r w:rsidR="00A6089A">
        <w:rPr>
          <w:rFonts w:ascii="Arial" w:hAnsi="Arial" w:cs="Arial"/>
          <w:sz w:val="28"/>
          <w:szCs w:val="28"/>
        </w:rPr>
        <w:t>riminal charges, and potential</w:t>
      </w:r>
      <w:r>
        <w:rPr>
          <w:rFonts w:ascii="Arial" w:hAnsi="Arial" w:cs="Arial"/>
          <w:sz w:val="28"/>
          <w:szCs w:val="28"/>
        </w:rPr>
        <w:t xml:space="preserve"> punishment with loss of liberty, reputation and other humiliations and burdens, the simplistic question “where does truth lie?” </w:t>
      </w:r>
      <w:r w:rsidR="00A6089A">
        <w:rPr>
          <w:rFonts w:ascii="Arial" w:hAnsi="Arial" w:cs="Arial"/>
          <w:sz w:val="28"/>
          <w:szCs w:val="28"/>
        </w:rPr>
        <w:t>will</w:t>
      </w:r>
      <w:r>
        <w:rPr>
          <w:rFonts w:ascii="Arial" w:hAnsi="Arial" w:cs="Arial"/>
          <w:sz w:val="28"/>
          <w:szCs w:val="28"/>
        </w:rPr>
        <w:t xml:space="preserve"> be complicated </w:t>
      </w:r>
      <w:r w:rsidR="00A6089A">
        <w:rPr>
          <w:rFonts w:ascii="Arial" w:hAnsi="Arial" w:cs="Arial"/>
          <w:sz w:val="28"/>
          <w:szCs w:val="28"/>
        </w:rPr>
        <w:t xml:space="preserve">because of </w:t>
      </w:r>
      <w:r>
        <w:rPr>
          <w:rFonts w:ascii="Arial" w:hAnsi="Arial" w:cs="Arial"/>
          <w:sz w:val="28"/>
          <w:szCs w:val="28"/>
        </w:rPr>
        <w:t xml:space="preserve">other considerations.  </w:t>
      </w:r>
      <w:r w:rsidR="003C02DC">
        <w:rPr>
          <w:rFonts w:ascii="Arial" w:hAnsi="Arial" w:cs="Arial"/>
          <w:sz w:val="28"/>
          <w:szCs w:val="28"/>
        </w:rPr>
        <w:t>I</w:t>
      </w:r>
      <w:r>
        <w:rPr>
          <w:rFonts w:ascii="Arial" w:hAnsi="Arial" w:cs="Arial"/>
          <w:sz w:val="28"/>
          <w:szCs w:val="28"/>
        </w:rPr>
        <w:t>n such a case, the risk of error on the part of the decision-maker is more intolerable</w:t>
      </w:r>
      <w:r w:rsidR="003C02DC">
        <w:rPr>
          <w:rFonts w:ascii="Arial" w:hAnsi="Arial" w:cs="Arial"/>
          <w:sz w:val="28"/>
          <w:szCs w:val="28"/>
        </w:rPr>
        <w:t>.</w:t>
      </w:r>
      <w:r>
        <w:rPr>
          <w:rFonts w:ascii="Arial" w:hAnsi="Arial" w:cs="Arial"/>
          <w:sz w:val="28"/>
          <w:szCs w:val="28"/>
        </w:rPr>
        <w:t xml:space="preserve">  </w:t>
      </w:r>
      <w:r w:rsidR="003C02DC">
        <w:rPr>
          <w:rFonts w:ascii="Arial" w:hAnsi="Arial" w:cs="Arial"/>
          <w:sz w:val="28"/>
          <w:szCs w:val="28"/>
        </w:rPr>
        <w:t>H</w:t>
      </w:r>
      <w:r>
        <w:rPr>
          <w:rFonts w:ascii="Arial" w:hAnsi="Arial" w:cs="Arial"/>
          <w:sz w:val="28"/>
          <w:szCs w:val="28"/>
        </w:rPr>
        <w:t>ence</w:t>
      </w:r>
      <w:r w:rsidR="003C02DC">
        <w:rPr>
          <w:rFonts w:ascii="Arial" w:hAnsi="Arial" w:cs="Arial"/>
          <w:sz w:val="28"/>
          <w:szCs w:val="28"/>
        </w:rPr>
        <w:t xml:space="preserve"> error must</w:t>
      </w:r>
      <w:r>
        <w:rPr>
          <w:rFonts w:ascii="Arial" w:hAnsi="Arial" w:cs="Arial"/>
          <w:sz w:val="28"/>
          <w:szCs w:val="28"/>
        </w:rPr>
        <w:t xml:space="preserve"> be guarded against</w:t>
      </w:r>
      <w:r w:rsidR="00803EE4" w:rsidRPr="00803EE4">
        <w:rPr>
          <w:rFonts w:ascii="Arial" w:hAnsi="Arial" w:cs="Arial"/>
          <w:sz w:val="28"/>
          <w:szCs w:val="28"/>
        </w:rPr>
        <w:t xml:space="preserve"> more carefully</w:t>
      </w:r>
      <w:r>
        <w:rPr>
          <w:rFonts w:ascii="Arial" w:hAnsi="Arial" w:cs="Arial"/>
          <w:sz w:val="28"/>
          <w:szCs w:val="28"/>
        </w:rPr>
        <w:t xml:space="preserve">.  </w:t>
      </w:r>
    </w:p>
    <w:p w14:paraId="755243DC" w14:textId="77777777" w:rsidR="003776B3" w:rsidRDefault="003776B3" w:rsidP="003776B3">
      <w:pPr>
        <w:spacing w:line="360" w:lineRule="auto"/>
        <w:jc w:val="both"/>
        <w:rPr>
          <w:rFonts w:ascii="Arial" w:hAnsi="Arial" w:cs="Arial"/>
          <w:sz w:val="28"/>
          <w:szCs w:val="28"/>
        </w:rPr>
      </w:pPr>
    </w:p>
    <w:p w14:paraId="70DC2B33" w14:textId="329238AD" w:rsidR="000A4C96" w:rsidRDefault="003776B3" w:rsidP="003776B3">
      <w:pPr>
        <w:spacing w:line="360" w:lineRule="auto"/>
        <w:jc w:val="both"/>
        <w:rPr>
          <w:rFonts w:ascii="Arial" w:hAnsi="Arial" w:cs="Arial"/>
          <w:sz w:val="28"/>
          <w:szCs w:val="28"/>
        </w:rPr>
      </w:pPr>
      <w:r>
        <w:rPr>
          <w:rFonts w:ascii="Arial" w:hAnsi="Arial" w:cs="Arial"/>
          <w:sz w:val="28"/>
          <w:szCs w:val="28"/>
        </w:rPr>
        <w:t xml:space="preserve">In a multifaceted inquiry at an international level, it is true that there are serious dangers of fraudulent, false, exaggerated, confused and </w:t>
      </w:r>
      <w:r>
        <w:rPr>
          <w:rFonts w:ascii="Arial" w:hAnsi="Arial" w:cs="Arial"/>
          <w:sz w:val="28"/>
          <w:szCs w:val="28"/>
        </w:rPr>
        <w:lastRenderedPageBreak/>
        <w:t xml:space="preserve">unreliable testimony, sometimes </w:t>
      </w:r>
      <w:r w:rsidR="00A6089A">
        <w:rPr>
          <w:rFonts w:ascii="Arial" w:hAnsi="Arial" w:cs="Arial"/>
          <w:sz w:val="28"/>
          <w:szCs w:val="28"/>
        </w:rPr>
        <w:t>affected by</w:t>
      </w:r>
      <w:r w:rsidR="003C02DC">
        <w:rPr>
          <w:rFonts w:ascii="Arial" w:hAnsi="Arial" w:cs="Arial"/>
          <w:sz w:val="28"/>
          <w:szCs w:val="28"/>
        </w:rPr>
        <w:t xml:space="preserve"> the consequences of</w:t>
      </w:r>
      <w:r>
        <w:rPr>
          <w:rFonts w:ascii="Arial" w:hAnsi="Arial" w:cs="Arial"/>
          <w:sz w:val="28"/>
          <w:szCs w:val="28"/>
        </w:rPr>
        <w:t xml:space="preserve"> psychological trauma, political motivations and </w:t>
      </w:r>
      <w:r w:rsidR="003C02DC">
        <w:rPr>
          <w:rFonts w:ascii="Arial" w:hAnsi="Arial" w:cs="Arial"/>
          <w:sz w:val="28"/>
          <w:szCs w:val="28"/>
        </w:rPr>
        <w:t xml:space="preserve">even </w:t>
      </w:r>
      <w:r>
        <w:rPr>
          <w:rFonts w:ascii="Arial" w:hAnsi="Arial" w:cs="Arial"/>
          <w:sz w:val="28"/>
          <w:szCs w:val="28"/>
        </w:rPr>
        <w:t>idealistic aspirations.  Yet in this case, as in national formal decision-making, the decision-maker does not have the luxury of walking away.  He or she must do the best that is possible to unveil the truth.  A measure of scepticism</w:t>
      </w:r>
      <w:r w:rsidR="000A4C96">
        <w:rPr>
          <w:rFonts w:ascii="Arial" w:hAnsi="Arial" w:cs="Arial"/>
          <w:sz w:val="28"/>
          <w:szCs w:val="28"/>
        </w:rPr>
        <w:t xml:space="preserve"> is </w:t>
      </w:r>
      <w:r w:rsidR="003C02DC">
        <w:rPr>
          <w:rFonts w:ascii="Arial" w:hAnsi="Arial" w:cs="Arial"/>
          <w:sz w:val="28"/>
          <w:szCs w:val="28"/>
        </w:rPr>
        <w:t xml:space="preserve">about the sources of the evidence used is usually </w:t>
      </w:r>
      <w:r w:rsidR="000A4C96">
        <w:rPr>
          <w:rFonts w:ascii="Arial" w:hAnsi="Arial" w:cs="Arial"/>
          <w:sz w:val="28"/>
          <w:szCs w:val="28"/>
        </w:rPr>
        <w:t>appropriate.  Certainly</w:t>
      </w:r>
      <w:r w:rsidR="003C02DC">
        <w:rPr>
          <w:rFonts w:ascii="Arial" w:hAnsi="Arial" w:cs="Arial"/>
          <w:sz w:val="28"/>
          <w:szCs w:val="28"/>
        </w:rPr>
        <w:t>,</w:t>
      </w:r>
      <w:r w:rsidR="000A4C96">
        <w:rPr>
          <w:rFonts w:ascii="Arial" w:hAnsi="Arial" w:cs="Arial"/>
          <w:sz w:val="28"/>
          <w:szCs w:val="28"/>
        </w:rPr>
        <w:t xml:space="preserve"> caution</w:t>
      </w:r>
      <w:r w:rsidR="003C02DC">
        <w:rPr>
          <w:rFonts w:ascii="Arial" w:hAnsi="Arial" w:cs="Arial"/>
          <w:sz w:val="28"/>
          <w:szCs w:val="28"/>
        </w:rPr>
        <w:t xml:space="preserve"> should be used</w:t>
      </w:r>
      <w:r w:rsidR="000A4C96">
        <w:rPr>
          <w:rFonts w:ascii="Arial" w:hAnsi="Arial" w:cs="Arial"/>
          <w:sz w:val="28"/>
          <w:szCs w:val="28"/>
        </w:rPr>
        <w:t xml:space="preserve"> in accepting</w:t>
      </w:r>
      <w:r w:rsidR="003C02DC">
        <w:rPr>
          <w:rFonts w:ascii="Arial" w:hAnsi="Arial" w:cs="Arial"/>
          <w:sz w:val="28"/>
          <w:szCs w:val="28"/>
        </w:rPr>
        <w:t xml:space="preserve"> the</w:t>
      </w:r>
      <w:r w:rsidR="000A4C96">
        <w:rPr>
          <w:rFonts w:ascii="Arial" w:hAnsi="Arial" w:cs="Arial"/>
          <w:sz w:val="28"/>
          <w:szCs w:val="28"/>
        </w:rPr>
        <w:t xml:space="preserve"> testimony of witnesses generally.  Decision-makers need to be made aware of the neurobiology of decision-making and what it means to have a “feeling” of </w:t>
      </w:r>
      <w:r w:rsidR="003C02DC">
        <w:rPr>
          <w:rFonts w:ascii="Arial" w:hAnsi="Arial" w:cs="Arial"/>
          <w:sz w:val="28"/>
          <w:szCs w:val="28"/>
        </w:rPr>
        <w:t>“</w:t>
      </w:r>
      <w:r w:rsidR="000A4C96">
        <w:rPr>
          <w:rFonts w:ascii="Arial" w:hAnsi="Arial" w:cs="Arial"/>
          <w:sz w:val="28"/>
          <w:szCs w:val="28"/>
        </w:rPr>
        <w:t>actual persuasion</w:t>
      </w:r>
      <w:r w:rsidR="003C02DC">
        <w:rPr>
          <w:rFonts w:ascii="Arial" w:hAnsi="Arial" w:cs="Arial"/>
          <w:sz w:val="28"/>
          <w:szCs w:val="28"/>
        </w:rPr>
        <w:t>”</w:t>
      </w:r>
      <w:r w:rsidR="000A4C96">
        <w:rPr>
          <w:rFonts w:ascii="Arial" w:hAnsi="Arial" w:cs="Arial"/>
          <w:sz w:val="28"/>
          <w:szCs w:val="28"/>
        </w:rPr>
        <w:t xml:space="preserve"> or a belief that a conclusion can be classified as “beyond reasonable doubt”.</w:t>
      </w:r>
      <w:r w:rsidR="00F455BB" w:rsidRPr="00F455BB">
        <w:rPr>
          <w:rFonts w:ascii="Arial" w:hAnsi="Arial" w:cs="Arial"/>
          <w:sz w:val="28"/>
          <w:szCs w:val="28"/>
          <w:vertAlign w:val="superscript"/>
        </w:rPr>
        <w:t xml:space="preserve"> </w:t>
      </w:r>
      <w:r w:rsidR="00F455BB" w:rsidRPr="00F455BB">
        <w:rPr>
          <w:rFonts w:ascii="Arial" w:hAnsi="Arial" w:cs="Arial"/>
          <w:sz w:val="28"/>
          <w:szCs w:val="28"/>
          <w:vertAlign w:val="superscript"/>
        </w:rPr>
        <w:footnoteReference w:id="26"/>
      </w:r>
      <w:r w:rsidR="000A4C96">
        <w:rPr>
          <w:rFonts w:ascii="Arial" w:hAnsi="Arial" w:cs="Arial"/>
          <w:sz w:val="28"/>
          <w:szCs w:val="28"/>
        </w:rPr>
        <w:t xml:space="preserve">  </w:t>
      </w:r>
    </w:p>
    <w:p w14:paraId="3E21BFC0" w14:textId="77777777" w:rsidR="000A4C96" w:rsidRDefault="000A4C96" w:rsidP="003776B3">
      <w:pPr>
        <w:spacing w:line="360" w:lineRule="auto"/>
        <w:jc w:val="both"/>
        <w:rPr>
          <w:rFonts w:ascii="Arial" w:hAnsi="Arial" w:cs="Arial"/>
          <w:sz w:val="28"/>
          <w:szCs w:val="28"/>
        </w:rPr>
      </w:pPr>
    </w:p>
    <w:p w14:paraId="23D04E4E" w14:textId="2E950882" w:rsidR="003776B3" w:rsidRDefault="000A4C96" w:rsidP="003776B3">
      <w:pPr>
        <w:spacing w:line="360" w:lineRule="auto"/>
        <w:jc w:val="both"/>
        <w:rPr>
          <w:rFonts w:ascii="Arial" w:hAnsi="Arial" w:cs="Arial"/>
          <w:sz w:val="28"/>
          <w:szCs w:val="28"/>
        </w:rPr>
      </w:pPr>
      <w:r>
        <w:rPr>
          <w:rFonts w:ascii="Arial" w:hAnsi="Arial" w:cs="Arial"/>
          <w:sz w:val="28"/>
          <w:szCs w:val="28"/>
        </w:rPr>
        <w:t>Similarly, the decision-maker needs to be aware of cultural considerations that can influence the way evidence is given when it comes through the medium of a different language or culture.</w:t>
      </w:r>
      <w:r w:rsidR="003E3B62" w:rsidRPr="003E3B62">
        <w:rPr>
          <w:rFonts w:ascii="Arial" w:hAnsi="Arial" w:cs="Arial"/>
          <w:sz w:val="28"/>
          <w:szCs w:val="28"/>
          <w:vertAlign w:val="superscript"/>
        </w:rPr>
        <w:footnoteReference w:id="27"/>
      </w:r>
      <w:r w:rsidR="003E3B62" w:rsidRPr="003E3B62">
        <w:rPr>
          <w:rFonts w:ascii="Arial" w:hAnsi="Arial" w:cs="Arial"/>
          <w:sz w:val="28"/>
          <w:szCs w:val="28"/>
        </w:rPr>
        <w:t xml:space="preserve"> </w:t>
      </w:r>
      <w:r>
        <w:rPr>
          <w:rFonts w:ascii="Arial" w:hAnsi="Arial" w:cs="Arial"/>
          <w:sz w:val="28"/>
          <w:szCs w:val="28"/>
        </w:rPr>
        <w:t xml:space="preserve">   </w:t>
      </w:r>
      <w:r w:rsidR="003C02DC">
        <w:rPr>
          <w:rFonts w:ascii="Arial" w:hAnsi="Arial" w:cs="Arial"/>
          <w:sz w:val="28"/>
          <w:szCs w:val="28"/>
        </w:rPr>
        <w:t>W</w:t>
      </w:r>
      <w:r>
        <w:rPr>
          <w:rFonts w:ascii="Arial" w:hAnsi="Arial" w:cs="Arial"/>
          <w:sz w:val="28"/>
          <w:szCs w:val="28"/>
        </w:rPr>
        <w:t>e now know how some evidence, given with conviction and certainty</w:t>
      </w:r>
      <w:r w:rsidR="003C02DC">
        <w:rPr>
          <w:rFonts w:ascii="Arial" w:hAnsi="Arial" w:cs="Arial"/>
          <w:sz w:val="28"/>
          <w:szCs w:val="28"/>
        </w:rPr>
        <w:t>,</w:t>
      </w:r>
      <w:r>
        <w:rPr>
          <w:rFonts w:ascii="Arial" w:hAnsi="Arial" w:cs="Arial"/>
          <w:sz w:val="28"/>
          <w:szCs w:val="28"/>
        </w:rPr>
        <w:t xml:space="preserve"> can be </w:t>
      </w:r>
      <w:r w:rsidR="003C02DC">
        <w:rPr>
          <w:rFonts w:ascii="Arial" w:hAnsi="Arial" w:cs="Arial"/>
          <w:sz w:val="28"/>
          <w:szCs w:val="28"/>
        </w:rPr>
        <w:t>e</w:t>
      </w:r>
      <w:r>
        <w:rPr>
          <w:rFonts w:ascii="Arial" w:hAnsi="Arial" w:cs="Arial"/>
          <w:sz w:val="28"/>
          <w:szCs w:val="28"/>
        </w:rPr>
        <w:t>r</w:t>
      </w:r>
      <w:r w:rsidR="003C02DC">
        <w:rPr>
          <w:rFonts w:ascii="Arial" w:hAnsi="Arial" w:cs="Arial"/>
          <w:sz w:val="28"/>
          <w:szCs w:val="28"/>
        </w:rPr>
        <w:t>r</w:t>
      </w:r>
      <w:r>
        <w:rPr>
          <w:rFonts w:ascii="Arial" w:hAnsi="Arial" w:cs="Arial"/>
          <w:sz w:val="28"/>
          <w:szCs w:val="28"/>
        </w:rPr>
        <w:t>on</w:t>
      </w:r>
      <w:r w:rsidR="003C02DC">
        <w:rPr>
          <w:rFonts w:ascii="Arial" w:hAnsi="Arial" w:cs="Arial"/>
          <w:sz w:val="28"/>
          <w:szCs w:val="28"/>
        </w:rPr>
        <w:t>eous</w:t>
      </w:r>
      <w:r>
        <w:rPr>
          <w:rFonts w:ascii="Arial" w:hAnsi="Arial" w:cs="Arial"/>
          <w:sz w:val="28"/>
          <w:szCs w:val="28"/>
        </w:rPr>
        <w:t xml:space="preserve">, simply because of the operation on our </w:t>
      </w:r>
      <w:r w:rsidR="003C02DC">
        <w:rPr>
          <w:rFonts w:ascii="Arial" w:hAnsi="Arial" w:cs="Arial"/>
          <w:sz w:val="28"/>
          <w:szCs w:val="28"/>
        </w:rPr>
        <w:t>fallible</w:t>
      </w:r>
      <w:r>
        <w:rPr>
          <w:rFonts w:ascii="Arial" w:hAnsi="Arial" w:cs="Arial"/>
          <w:sz w:val="28"/>
          <w:szCs w:val="28"/>
        </w:rPr>
        <w:t xml:space="preserve"> human recollection of unconscious psychological factors such as expectations,</w:t>
      </w:r>
      <w:r w:rsidR="00A6089A">
        <w:rPr>
          <w:rFonts w:ascii="Arial" w:hAnsi="Arial" w:cs="Arial"/>
          <w:sz w:val="28"/>
          <w:szCs w:val="28"/>
        </w:rPr>
        <w:t xml:space="preserve"> interests,</w:t>
      </w:r>
      <w:r>
        <w:rPr>
          <w:rFonts w:ascii="Arial" w:hAnsi="Arial" w:cs="Arial"/>
          <w:sz w:val="28"/>
          <w:szCs w:val="28"/>
        </w:rPr>
        <w:t xml:space="preserve"> hopes and desires.</w:t>
      </w:r>
      <w:r w:rsidR="003E3B62" w:rsidRPr="003E3B62">
        <w:rPr>
          <w:rFonts w:ascii="Arial" w:hAnsi="Arial" w:cs="Arial"/>
          <w:sz w:val="28"/>
          <w:szCs w:val="28"/>
          <w:vertAlign w:val="superscript"/>
        </w:rPr>
        <w:t xml:space="preserve"> </w:t>
      </w:r>
      <w:r w:rsidR="003E3B62" w:rsidRPr="003E3B62">
        <w:rPr>
          <w:rFonts w:ascii="Arial" w:hAnsi="Arial" w:cs="Arial"/>
          <w:sz w:val="28"/>
          <w:szCs w:val="28"/>
          <w:vertAlign w:val="superscript"/>
        </w:rPr>
        <w:footnoteReference w:id="28"/>
      </w:r>
      <w:r>
        <w:rPr>
          <w:rFonts w:ascii="Arial" w:hAnsi="Arial" w:cs="Arial"/>
          <w:sz w:val="28"/>
          <w:szCs w:val="28"/>
        </w:rPr>
        <w:t xml:space="preserve"> </w:t>
      </w:r>
    </w:p>
    <w:p w14:paraId="24CA546D" w14:textId="77777777" w:rsidR="000A4C96" w:rsidRDefault="000A4C96" w:rsidP="003776B3">
      <w:pPr>
        <w:spacing w:line="360" w:lineRule="auto"/>
        <w:jc w:val="both"/>
        <w:rPr>
          <w:rFonts w:ascii="Arial" w:hAnsi="Arial" w:cs="Arial"/>
          <w:sz w:val="28"/>
          <w:szCs w:val="28"/>
        </w:rPr>
      </w:pPr>
    </w:p>
    <w:p w14:paraId="58B8D741" w14:textId="6679FE09" w:rsidR="001E02B4" w:rsidRDefault="000A4C96" w:rsidP="003776B3">
      <w:pPr>
        <w:spacing w:line="360" w:lineRule="auto"/>
        <w:jc w:val="both"/>
        <w:rPr>
          <w:rFonts w:ascii="Arial" w:hAnsi="Arial" w:cs="Arial"/>
          <w:sz w:val="28"/>
          <w:szCs w:val="28"/>
        </w:rPr>
      </w:pPr>
      <w:r>
        <w:rPr>
          <w:rFonts w:ascii="Arial" w:hAnsi="Arial" w:cs="Arial"/>
          <w:sz w:val="28"/>
          <w:szCs w:val="28"/>
        </w:rPr>
        <w:t xml:space="preserve">Formal decision-making in a court, tribunal or a commission of inquiry involves a journey that has many uncertain and some missing guide posts.  But the journey </w:t>
      </w:r>
      <w:r w:rsidR="00803EE4">
        <w:rPr>
          <w:rFonts w:ascii="Arial" w:hAnsi="Arial" w:cs="Arial"/>
          <w:sz w:val="28"/>
          <w:szCs w:val="28"/>
        </w:rPr>
        <w:t>should</w:t>
      </w:r>
      <w:r w:rsidR="001E02B4">
        <w:rPr>
          <w:rFonts w:ascii="Arial" w:hAnsi="Arial" w:cs="Arial"/>
          <w:sz w:val="28"/>
          <w:szCs w:val="28"/>
        </w:rPr>
        <w:t xml:space="preserve"> </w:t>
      </w:r>
      <w:r>
        <w:rPr>
          <w:rFonts w:ascii="Arial" w:hAnsi="Arial" w:cs="Arial"/>
          <w:sz w:val="28"/>
          <w:szCs w:val="28"/>
        </w:rPr>
        <w:t xml:space="preserve">be taken and completed.  Those on that journey must have clear eyes and an honest objective to come to the right destination.  Because of our human </w:t>
      </w:r>
      <w:r w:rsidR="001E02B4">
        <w:rPr>
          <w:rFonts w:ascii="Arial" w:hAnsi="Arial" w:cs="Arial"/>
          <w:sz w:val="28"/>
          <w:szCs w:val="28"/>
        </w:rPr>
        <w:t>weaknesses</w:t>
      </w:r>
      <w:r>
        <w:rPr>
          <w:rFonts w:ascii="Arial" w:hAnsi="Arial" w:cs="Arial"/>
          <w:sz w:val="28"/>
          <w:szCs w:val="28"/>
        </w:rPr>
        <w:t xml:space="preserve">, we will all </w:t>
      </w:r>
      <w:r>
        <w:rPr>
          <w:rFonts w:ascii="Arial" w:hAnsi="Arial" w:cs="Arial"/>
          <w:sz w:val="28"/>
          <w:szCs w:val="28"/>
        </w:rPr>
        <w:lastRenderedPageBreak/>
        <w:t xml:space="preserve">sometimes fail in the journey.  However, that risk does not release us from the obligation to pursue the place where truth lies.  </w:t>
      </w:r>
    </w:p>
    <w:p w14:paraId="54FADBED" w14:textId="77777777" w:rsidR="001E02B4" w:rsidRDefault="001E02B4" w:rsidP="003776B3">
      <w:pPr>
        <w:spacing w:line="360" w:lineRule="auto"/>
        <w:jc w:val="both"/>
        <w:rPr>
          <w:rFonts w:ascii="Arial" w:hAnsi="Arial" w:cs="Arial"/>
          <w:sz w:val="28"/>
          <w:szCs w:val="28"/>
        </w:rPr>
      </w:pPr>
    </w:p>
    <w:p w14:paraId="1B89BF8C" w14:textId="72B229C5" w:rsidR="000A4C96" w:rsidRDefault="000A4C96" w:rsidP="003776B3">
      <w:pPr>
        <w:spacing w:line="360" w:lineRule="auto"/>
        <w:jc w:val="both"/>
        <w:rPr>
          <w:rFonts w:ascii="Arial" w:hAnsi="Arial" w:cs="Arial"/>
          <w:sz w:val="28"/>
          <w:szCs w:val="28"/>
        </w:rPr>
      </w:pPr>
      <w:r>
        <w:rPr>
          <w:rFonts w:ascii="Arial" w:hAnsi="Arial" w:cs="Arial"/>
          <w:sz w:val="28"/>
          <w:szCs w:val="28"/>
        </w:rPr>
        <w:t>“What is truth?”  When Pilate was told by Jesus that he had come i</w:t>
      </w:r>
      <w:r w:rsidR="00803EE4">
        <w:rPr>
          <w:rFonts w:ascii="Arial" w:hAnsi="Arial" w:cs="Arial"/>
          <w:sz w:val="28"/>
          <w:szCs w:val="28"/>
        </w:rPr>
        <w:t xml:space="preserve">nto the world to bear witness </w:t>
      </w:r>
      <w:r>
        <w:rPr>
          <w:rFonts w:ascii="Arial" w:hAnsi="Arial" w:cs="Arial"/>
          <w:sz w:val="28"/>
          <w:szCs w:val="28"/>
        </w:rPr>
        <w:t>to the truth, the Roman Governor asked the question: “What is truth?”</w:t>
      </w:r>
      <w:r w:rsidR="003E3B62">
        <w:rPr>
          <w:rStyle w:val="FootnoteReference"/>
          <w:rFonts w:ascii="Arial" w:hAnsi="Arial" w:cs="Arial"/>
          <w:sz w:val="28"/>
          <w:szCs w:val="28"/>
        </w:rPr>
        <w:footnoteReference w:id="29"/>
      </w:r>
      <w:r>
        <w:rPr>
          <w:rFonts w:ascii="Arial" w:hAnsi="Arial" w:cs="Arial"/>
          <w:sz w:val="28"/>
          <w:szCs w:val="28"/>
        </w:rPr>
        <w:t xml:space="preserve">  He did not stay for an answer; but he immediately declared to t</w:t>
      </w:r>
      <w:r w:rsidR="001E02B4">
        <w:rPr>
          <w:rFonts w:ascii="Arial" w:hAnsi="Arial" w:cs="Arial"/>
          <w:sz w:val="28"/>
          <w:szCs w:val="28"/>
        </w:rPr>
        <w:t>he angry crowd</w:t>
      </w:r>
      <w:r>
        <w:rPr>
          <w:rFonts w:ascii="Arial" w:hAnsi="Arial" w:cs="Arial"/>
          <w:sz w:val="28"/>
          <w:szCs w:val="28"/>
        </w:rPr>
        <w:t xml:space="preserve">: “I find in him no fault at all”.  </w:t>
      </w:r>
      <w:r w:rsidR="00A6089A">
        <w:rPr>
          <w:rFonts w:ascii="Arial" w:hAnsi="Arial" w:cs="Arial"/>
          <w:sz w:val="28"/>
          <w:szCs w:val="28"/>
        </w:rPr>
        <w:t>Ye</w:t>
      </w:r>
      <w:r>
        <w:rPr>
          <w:rFonts w:ascii="Arial" w:hAnsi="Arial" w:cs="Arial"/>
          <w:sz w:val="28"/>
          <w:szCs w:val="28"/>
        </w:rPr>
        <w:t>t instead of sticking to his</w:t>
      </w:r>
      <w:r w:rsidR="001E02B4">
        <w:rPr>
          <w:rFonts w:ascii="Arial" w:hAnsi="Arial" w:cs="Arial"/>
          <w:sz w:val="28"/>
          <w:szCs w:val="28"/>
        </w:rPr>
        <w:t xml:space="preserve"> own</w:t>
      </w:r>
      <w:r>
        <w:rPr>
          <w:rFonts w:ascii="Arial" w:hAnsi="Arial" w:cs="Arial"/>
          <w:sz w:val="28"/>
          <w:szCs w:val="28"/>
        </w:rPr>
        <w:t xml:space="preserve"> conclusion, he attempted a dishonest compromise by offering up a murderer</w:t>
      </w:r>
      <w:r w:rsidR="001E02B4">
        <w:rPr>
          <w:rFonts w:ascii="Arial" w:hAnsi="Arial" w:cs="Arial"/>
          <w:sz w:val="28"/>
          <w:szCs w:val="28"/>
        </w:rPr>
        <w:t>,</w:t>
      </w:r>
      <w:r>
        <w:rPr>
          <w:rFonts w:ascii="Arial" w:hAnsi="Arial" w:cs="Arial"/>
          <w:sz w:val="28"/>
          <w:szCs w:val="28"/>
        </w:rPr>
        <w:t xml:space="preserve"> only to find that the rabble was not appeased, so he</w:t>
      </w:r>
      <w:r w:rsidR="001E02B4">
        <w:rPr>
          <w:rFonts w:ascii="Arial" w:hAnsi="Arial" w:cs="Arial"/>
          <w:sz w:val="28"/>
          <w:szCs w:val="28"/>
        </w:rPr>
        <w:t xml:space="preserve"> felt forced to</w:t>
      </w:r>
      <w:r>
        <w:rPr>
          <w:rFonts w:ascii="Arial" w:hAnsi="Arial" w:cs="Arial"/>
          <w:sz w:val="28"/>
          <w:szCs w:val="28"/>
        </w:rPr>
        <w:t xml:space="preserve"> proceed to a</w:t>
      </w:r>
      <w:r w:rsidR="001E02B4">
        <w:rPr>
          <w:rFonts w:ascii="Arial" w:hAnsi="Arial" w:cs="Arial"/>
          <w:sz w:val="28"/>
          <w:szCs w:val="28"/>
        </w:rPr>
        <w:t xml:space="preserve"> gravely</w:t>
      </w:r>
      <w:r>
        <w:rPr>
          <w:rFonts w:ascii="Arial" w:hAnsi="Arial" w:cs="Arial"/>
          <w:sz w:val="28"/>
          <w:szCs w:val="28"/>
        </w:rPr>
        <w:t xml:space="preserve"> unjust decision.</w:t>
      </w:r>
    </w:p>
    <w:p w14:paraId="4A424BAB" w14:textId="77777777" w:rsidR="000A4C96" w:rsidRDefault="000A4C96" w:rsidP="003776B3">
      <w:pPr>
        <w:spacing w:line="360" w:lineRule="auto"/>
        <w:jc w:val="both"/>
        <w:rPr>
          <w:rFonts w:ascii="Arial" w:hAnsi="Arial" w:cs="Arial"/>
          <w:sz w:val="28"/>
          <w:szCs w:val="28"/>
        </w:rPr>
      </w:pPr>
    </w:p>
    <w:p w14:paraId="21F1720C" w14:textId="31550884" w:rsidR="00345434" w:rsidRPr="00345434" w:rsidRDefault="000A4C96" w:rsidP="00A6089A">
      <w:pPr>
        <w:spacing w:line="360" w:lineRule="auto"/>
        <w:jc w:val="both"/>
        <w:rPr>
          <w:rFonts w:ascii="Arial" w:hAnsi="Arial" w:cs="Arial"/>
          <w:sz w:val="28"/>
          <w:szCs w:val="28"/>
        </w:rPr>
      </w:pPr>
      <w:r>
        <w:rPr>
          <w:rFonts w:ascii="Arial" w:hAnsi="Arial" w:cs="Arial"/>
          <w:sz w:val="28"/>
          <w:szCs w:val="28"/>
        </w:rPr>
        <w:t>In official decision-making, the discovery of truth is not scientific.  But when it found, it can</w:t>
      </w:r>
      <w:r w:rsidR="00803EE4">
        <w:rPr>
          <w:rFonts w:ascii="Arial" w:hAnsi="Arial" w:cs="Arial"/>
          <w:sz w:val="28"/>
          <w:szCs w:val="28"/>
        </w:rPr>
        <w:t xml:space="preserve"> help</w:t>
      </w:r>
      <w:r>
        <w:rPr>
          <w:rFonts w:ascii="Arial" w:hAnsi="Arial" w:cs="Arial"/>
          <w:sz w:val="28"/>
          <w:szCs w:val="28"/>
        </w:rPr>
        <w:t xml:space="preserve"> corre</w:t>
      </w:r>
      <w:r w:rsidR="001E02B4">
        <w:rPr>
          <w:rFonts w:ascii="Arial" w:hAnsi="Arial" w:cs="Arial"/>
          <w:sz w:val="28"/>
          <w:szCs w:val="28"/>
        </w:rPr>
        <w:t>ct an injustice in a civil case</w:t>
      </w:r>
      <w:r>
        <w:rPr>
          <w:rFonts w:ascii="Arial" w:hAnsi="Arial" w:cs="Arial"/>
          <w:sz w:val="28"/>
          <w:szCs w:val="28"/>
        </w:rPr>
        <w:t xml:space="preserve"> and </w:t>
      </w:r>
      <w:r w:rsidR="00096D0C">
        <w:rPr>
          <w:rFonts w:ascii="Arial" w:hAnsi="Arial" w:cs="Arial"/>
          <w:sz w:val="28"/>
          <w:szCs w:val="28"/>
        </w:rPr>
        <w:t>bring to</w:t>
      </w:r>
      <w:r w:rsidR="001E02B4">
        <w:rPr>
          <w:rFonts w:ascii="Arial" w:hAnsi="Arial" w:cs="Arial"/>
          <w:sz w:val="28"/>
          <w:szCs w:val="28"/>
        </w:rPr>
        <w:t xml:space="preserve"> a temporary</w:t>
      </w:r>
      <w:r>
        <w:rPr>
          <w:rFonts w:ascii="Arial" w:hAnsi="Arial" w:cs="Arial"/>
          <w:sz w:val="28"/>
          <w:szCs w:val="28"/>
        </w:rPr>
        <w:t xml:space="preserve"> conclusion a criminal accusation</w:t>
      </w:r>
      <w:r w:rsidR="001E02B4">
        <w:rPr>
          <w:rFonts w:ascii="Arial" w:hAnsi="Arial" w:cs="Arial"/>
          <w:sz w:val="28"/>
          <w:szCs w:val="28"/>
        </w:rPr>
        <w:t>.</w:t>
      </w:r>
      <w:r>
        <w:rPr>
          <w:rFonts w:ascii="Arial" w:hAnsi="Arial" w:cs="Arial"/>
          <w:sz w:val="28"/>
          <w:szCs w:val="28"/>
        </w:rPr>
        <w:t xml:space="preserve">  </w:t>
      </w:r>
      <w:r w:rsidR="001E02B4">
        <w:rPr>
          <w:rFonts w:ascii="Arial" w:hAnsi="Arial" w:cs="Arial"/>
          <w:sz w:val="28"/>
          <w:szCs w:val="28"/>
        </w:rPr>
        <w:t>O</w:t>
      </w:r>
      <w:r>
        <w:rPr>
          <w:rFonts w:ascii="Arial" w:hAnsi="Arial" w:cs="Arial"/>
          <w:sz w:val="28"/>
          <w:szCs w:val="28"/>
        </w:rPr>
        <w:t xml:space="preserve">n the global stage, </w:t>
      </w:r>
      <w:r w:rsidR="001E02B4">
        <w:rPr>
          <w:rFonts w:ascii="Arial" w:hAnsi="Arial" w:cs="Arial"/>
          <w:sz w:val="28"/>
          <w:szCs w:val="28"/>
        </w:rPr>
        <w:t>truth can</w:t>
      </w:r>
      <w:r>
        <w:rPr>
          <w:rFonts w:ascii="Arial" w:hAnsi="Arial" w:cs="Arial"/>
          <w:sz w:val="28"/>
          <w:szCs w:val="28"/>
        </w:rPr>
        <w:t xml:space="preserve"> shine the light of knowledge on a country </w:t>
      </w:r>
      <w:r w:rsidR="00096D0C">
        <w:rPr>
          <w:rFonts w:ascii="Arial" w:hAnsi="Arial" w:cs="Arial"/>
          <w:sz w:val="28"/>
          <w:szCs w:val="28"/>
        </w:rPr>
        <w:t>of dreadful wrongs.  Truth alone</w:t>
      </w:r>
      <w:r>
        <w:rPr>
          <w:rFonts w:ascii="Arial" w:hAnsi="Arial" w:cs="Arial"/>
          <w:sz w:val="28"/>
          <w:szCs w:val="28"/>
        </w:rPr>
        <w:t xml:space="preserve"> is not enough for justice to be done.  Yet without truth injustice may go</w:t>
      </w:r>
      <w:r w:rsidR="001E02B4">
        <w:rPr>
          <w:rFonts w:ascii="Arial" w:hAnsi="Arial" w:cs="Arial"/>
          <w:sz w:val="28"/>
          <w:szCs w:val="28"/>
        </w:rPr>
        <w:t xml:space="preserve"> unnoticed and</w:t>
      </w:r>
      <w:r w:rsidR="00803EE4">
        <w:rPr>
          <w:rFonts w:ascii="Arial" w:hAnsi="Arial" w:cs="Arial"/>
          <w:sz w:val="28"/>
          <w:szCs w:val="28"/>
        </w:rPr>
        <w:t xml:space="preserve"> permanently</w:t>
      </w:r>
      <w:r>
        <w:rPr>
          <w:rFonts w:ascii="Arial" w:hAnsi="Arial" w:cs="Arial"/>
          <w:sz w:val="28"/>
          <w:szCs w:val="28"/>
        </w:rPr>
        <w:t xml:space="preserve"> unrepaired.  That is why, with all the risks, humanity and its institutions stubbornly search for truth.</w:t>
      </w:r>
      <w:r w:rsidR="001E02B4">
        <w:rPr>
          <w:rFonts w:ascii="Arial" w:hAnsi="Arial" w:cs="Arial"/>
          <w:sz w:val="28"/>
          <w:szCs w:val="28"/>
        </w:rPr>
        <w:t xml:space="preserve">  And sometimes find</w:t>
      </w:r>
      <w:r w:rsidR="00803EE4">
        <w:rPr>
          <w:rFonts w:ascii="Arial" w:hAnsi="Arial" w:cs="Arial"/>
          <w:sz w:val="28"/>
          <w:szCs w:val="28"/>
        </w:rPr>
        <w:t xml:space="preserve"> and declare</w:t>
      </w:r>
      <w:r w:rsidR="001E02B4">
        <w:rPr>
          <w:rFonts w:ascii="Arial" w:hAnsi="Arial" w:cs="Arial"/>
          <w:sz w:val="28"/>
          <w:szCs w:val="28"/>
        </w:rPr>
        <w:t xml:space="preserve"> it.</w:t>
      </w:r>
      <w:r>
        <w:rPr>
          <w:rFonts w:ascii="Arial" w:hAnsi="Arial" w:cs="Arial"/>
          <w:sz w:val="28"/>
          <w:szCs w:val="28"/>
        </w:rPr>
        <w:t xml:space="preserve"> </w:t>
      </w:r>
      <w:r w:rsidR="00345434">
        <w:rPr>
          <w:rFonts w:ascii="Arial" w:hAnsi="Arial" w:cs="Arial"/>
          <w:sz w:val="28"/>
          <w:szCs w:val="28"/>
        </w:rPr>
        <w:t xml:space="preserve">  </w:t>
      </w:r>
    </w:p>
    <w:sectPr w:rsidR="00345434" w:rsidRPr="00345434" w:rsidSect="00B956AE">
      <w:footerReference w:type="default" r:id="rId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1C07C9" w14:textId="77777777" w:rsidR="00164B53" w:rsidRDefault="00164B53" w:rsidP="006E5CF7">
      <w:r>
        <w:separator/>
      </w:r>
    </w:p>
  </w:endnote>
  <w:endnote w:type="continuationSeparator" w:id="0">
    <w:p w14:paraId="4205C942" w14:textId="77777777" w:rsidR="00164B53" w:rsidRDefault="00164B53" w:rsidP="006E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795853"/>
      <w:docPartObj>
        <w:docPartGallery w:val="Page Numbers (Bottom of Page)"/>
        <w:docPartUnique/>
      </w:docPartObj>
    </w:sdtPr>
    <w:sdtEndPr>
      <w:rPr>
        <w:noProof/>
      </w:rPr>
    </w:sdtEndPr>
    <w:sdtContent>
      <w:p w14:paraId="5C4B87B9" w14:textId="7641CE3B" w:rsidR="00E46657" w:rsidRDefault="00E46657">
        <w:pPr>
          <w:pStyle w:val="Footer"/>
          <w:jc w:val="center"/>
        </w:pPr>
        <w:r>
          <w:fldChar w:fldCharType="begin"/>
        </w:r>
        <w:r>
          <w:instrText xml:space="preserve"> PAGE   \* MERGEFORMAT </w:instrText>
        </w:r>
        <w:r>
          <w:fldChar w:fldCharType="separate"/>
        </w:r>
        <w:r w:rsidR="00604887">
          <w:rPr>
            <w:noProof/>
          </w:rPr>
          <w:t>1</w:t>
        </w:r>
        <w:r>
          <w:rPr>
            <w:noProof/>
          </w:rPr>
          <w:fldChar w:fldCharType="end"/>
        </w:r>
      </w:p>
    </w:sdtContent>
  </w:sdt>
  <w:p w14:paraId="5F474873" w14:textId="77777777" w:rsidR="00E46657" w:rsidRDefault="00E46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826EB" w14:textId="77777777" w:rsidR="00164B53" w:rsidRDefault="00164B53" w:rsidP="006E5CF7">
      <w:r>
        <w:separator/>
      </w:r>
    </w:p>
  </w:footnote>
  <w:footnote w:type="continuationSeparator" w:id="0">
    <w:p w14:paraId="45FA84C6" w14:textId="77777777" w:rsidR="00164B53" w:rsidRDefault="00164B53" w:rsidP="006E5CF7">
      <w:r>
        <w:continuationSeparator/>
      </w:r>
    </w:p>
  </w:footnote>
  <w:footnote w:id="1">
    <w:p w14:paraId="716EDB5C" w14:textId="43216222" w:rsidR="00E46657" w:rsidRDefault="00E46657">
      <w:pPr>
        <w:pStyle w:val="FootnoteText"/>
      </w:pPr>
      <w:r>
        <w:rPr>
          <w:rStyle w:val="FootnoteReference"/>
        </w:rPr>
        <w:t>*</w:t>
      </w:r>
      <w:r>
        <w:t xml:space="preserve"> </w:t>
      </w:r>
      <w:r w:rsidR="002D6704">
        <w:t>Based on, and developed from, an address first given at Queen’s University of Ontario, Department of Statistics and Mathematics, 8 June 2015</w:t>
      </w:r>
      <w:r>
        <w:t>.</w:t>
      </w:r>
    </w:p>
  </w:footnote>
  <w:footnote w:id="2">
    <w:p w14:paraId="568D05F1" w14:textId="7FBE765C" w:rsidR="00E46657" w:rsidRDefault="00E46657">
      <w:pPr>
        <w:pStyle w:val="FootnoteText"/>
      </w:pPr>
      <w:r>
        <w:rPr>
          <w:rStyle w:val="FootnoteReference"/>
        </w:rPr>
        <w:t>**</w:t>
      </w:r>
      <w:r>
        <w:t xml:space="preserve"> Justice of the High Court of Australia (1996-2009); Chair, United Nations Commission of Inquiry on the Democratic People’s Republic of Korea (2013-2014).</w:t>
      </w:r>
    </w:p>
  </w:footnote>
  <w:footnote w:id="3">
    <w:p w14:paraId="51A9834C" w14:textId="37D6A7EC" w:rsidR="00E46657" w:rsidRDefault="00E46657">
      <w:pPr>
        <w:pStyle w:val="FootnoteText"/>
      </w:pPr>
      <w:r>
        <w:rPr>
          <w:rStyle w:val="FootnoteReference"/>
        </w:rPr>
        <w:footnoteRef/>
      </w:r>
      <w:r>
        <w:t xml:space="preserve"> United Nations, Human Rights Council Resolution 19/13 (2014).  The report is UN document A/HRC/25/63.</w:t>
      </w:r>
    </w:p>
  </w:footnote>
  <w:footnote w:id="4">
    <w:p w14:paraId="0259A7DB" w14:textId="58316FBE" w:rsidR="000D4F40" w:rsidRPr="000D4F40" w:rsidRDefault="000D4F40">
      <w:pPr>
        <w:pStyle w:val="FootnoteText"/>
      </w:pPr>
      <w:r>
        <w:rPr>
          <w:rStyle w:val="FootnoteReference"/>
        </w:rPr>
        <w:footnoteRef/>
      </w:r>
      <w:r>
        <w:t xml:space="preserve"> See P. Alston and S. Knuckey </w:t>
      </w:r>
      <w:r>
        <w:rPr>
          <w:i/>
        </w:rPr>
        <w:t>The Transformation of Human Rights Fact-Finding</w:t>
      </w:r>
      <w:r>
        <w:t>, OUP, Oxford, 2016, esp 25, 69, 89.</w:t>
      </w:r>
    </w:p>
  </w:footnote>
  <w:footnote w:id="5">
    <w:p w14:paraId="1C6B4914" w14:textId="2DDCB254" w:rsidR="00E46657" w:rsidRPr="00D4036F" w:rsidRDefault="00E46657">
      <w:pPr>
        <w:pStyle w:val="FootnoteText"/>
      </w:pPr>
      <w:r>
        <w:rPr>
          <w:rStyle w:val="FootnoteReference"/>
        </w:rPr>
        <w:footnoteRef/>
      </w:r>
      <w:r>
        <w:t xml:space="preserve"> </w:t>
      </w:r>
      <w:r w:rsidRPr="00D4036F">
        <w:t xml:space="preserve">UNSC </w:t>
      </w:r>
      <w:r w:rsidRPr="00D4036F">
        <w:rPr>
          <w:i/>
        </w:rPr>
        <w:t>Report of the Secretary-General on the Rule of Law in International Justice in Conflict and Post Conflict Societies</w:t>
      </w:r>
      <w:r>
        <w:t xml:space="preserve"> (2011) UN Doc S/2011/634 [24]; UNHRC, </w:t>
      </w:r>
      <w:r>
        <w:rPr>
          <w:i/>
        </w:rPr>
        <w:t>Report of the Secretary-General on Impunity</w:t>
      </w:r>
      <w:r>
        <w:t xml:space="preserve"> (2006) E/CN.4/2006/89.  See also G. Palmer, “Reform of UN Inquiries”, ch 36 in Festschrift for Roger Clark, Victoria University of Wellington, New Zealand, 2015 (Brill, Leiden, 2015), 595.</w:t>
      </w:r>
    </w:p>
  </w:footnote>
  <w:footnote w:id="6">
    <w:p w14:paraId="49CC41CA" w14:textId="1DB67B8F" w:rsidR="00E46657" w:rsidRPr="00D4036F" w:rsidRDefault="00E46657">
      <w:pPr>
        <w:pStyle w:val="FootnoteText"/>
        <w:rPr>
          <w:u w:val="single"/>
        </w:rPr>
      </w:pPr>
      <w:r>
        <w:rPr>
          <w:rStyle w:val="FootnoteReference"/>
        </w:rPr>
        <w:footnoteRef/>
      </w:r>
      <w:r>
        <w:t xml:space="preserve"> A paper on the methodology of the COI appears in NSW</w:t>
      </w:r>
      <w:r>
        <w:rPr>
          <w:i/>
        </w:rPr>
        <w:t xml:space="preserve">Judicial Officers’ Bulletin </w:t>
      </w:r>
      <w:r>
        <w:t>2015 (November 2015).</w:t>
      </w:r>
    </w:p>
  </w:footnote>
  <w:footnote w:id="7">
    <w:p w14:paraId="49DE9D28" w14:textId="76536E9F" w:rsidR="00E46657" w:rsidRPr="00D4036F" w:rsidRDefault="00E46657">
      <w:pPr>
        <w:pStyle w:val="FootnoteText"/>
      </w:pPr>
      <w:r>
        <w:rPr>
          <w:rStyle w:val="FootnoteReference"/>
        </w:rPr>
        <w:footnoteRef/>
      </w:r>
      <w:r>
        <w:t xml:space="preserve"> </w:t>
      </w:r>
      <w:r w:rsidRPr="00AF1BC1">
        <w:t>United Nations</w:t>
      </w:r>
      <w:r w:rsidR="00AF1BC1">
        <w:t>,</w:t>
      </w:r>
      <w:r>
        <w:rPr>
          <w:i/>
        </w:rPr>
        <w:t xml:space="preserve"> Charter</w:t>
      </w:r>
      <w:r>
        <w:t>, Art. 27.2.</w:t>
      </w:r>
    </w:p>
  </w:footnote>
  <w:footnote w:id="8">
    <w:p w14:paraId="1F12277B" w14:textId="1FF3F830" w:rsidR="00E46657" w:rsidRDefault="00E46657">
      <w:pPr>
        <w:pStyle w:val="FootnoteText"/>
      </w:pPr>
      <w:r>
        <w:rPr>
          <w:rStyle w:val="FootnoteReference"/>
        </w:rPr>
        <w:footnoteRef/>
      </w:r>
      <w:r>
        <w:t xml:space="preserve"> COI Report (A/HRC/25/CRP.1) 370 [1225(a)].</w:t>
      </w:r>
    </w:p>
  </w:footnote>
  <w:footnote w:id="9">
    <w:p w14:paraId="4D635D1F" w14:textId="61DAF360" w:rsidR="00E46657" w:rsidRPr="00D4036F" w:rsidRDefault="00E46657">
      <w:pPr>
        <w:pStyle w:val="FootnoteText"/>
      </w:pPr>
      <w:r>
        <w:rPr>
          <w:rStyle w:val="FootnoteReference"/>
        </w:rPr>
        <w:footnoteRef/>
      </w:r>
      <w:r>
        <w:t xml:space="preserve"> </w:t>
      </w:r>
      <w:r>
        <w:rPr>
          <w:i/>
        </w:rPr>
        <w:t>Ibid</w:t>
      </w:r>
      <w:r>
        <w:t xml:space="preserve">, 363-365 [1204].  See G.J. Evans </w:t>
      </w:r>
      <w:r>
        <w:rPr>
          <w:i/>
        </w:rPr>
        <w:t>Responsibility to Protect</w:t>
      </w:r>
      <w:r w:rsidR="00AF1BC1">
        <w:rPr>
          <w:i/>
        </w:rPr>
        <w:t>,</w:t>
      </w:r>
      <w:r w:rsidR="00AF1BC1">
        <w:t xml:space="preserve"> Brookings Institution, Washington D.C., 2008</w:t>
      </w:r>
      <w:r>
        <w:rPr>
          <w:i/>
        </w:rPr>
        <w:t>.</w:t>
      </w:r>
    </w:p>
  </w:footnote>
  <w:footnote w:id="10">
    <w:p w14:paraId="1B6A10CD" w14:textId="77777777" w:rsidR="00AF1BC1" w:rsidRPr="00D4036F" w:rsidRDefault="00AF1BC1" w:rsidP="00AF1BC1">
      <w:pPr>
        <w:pStyle w:val="FootnoteText"/>
      </w:pPr>
      <w:r>
        <w:rPr>
          <w:rStyle w:val="FootnoteReference"/>
        </w:rPr>
        <w:footnoteRef/>
      </w:r>
      <w:r>
        <w:t xml:space="preserve"> </w:t>
      </w:r>
      <w:r>
        <w:rPr>
          <w:i/>
        </w:rPr>
        <w:t>Ibid</w:t>
      </w:r>
      <w:r>
        <w:t>, 5-6 [6]-[12].</w:t>
      </w:r>
    </w:p>
  </w:footnote>
  <w:footnote w:id="11">
    <w:p w14:paraId="24D6ED59" w14:textId="77777777" w:rsidR="00AF1BC1" w:rsidRPr="00D4036F" w:rsidRDefault="00AF1BC1" w:rsidP="00AF1BC1">
      <w:pPr>
        <w:pStyle w:val="FootnoteText"/>
      </w:pPr>
      <w:r>
        <w:rPr>
          <w:rStyle w:val="FootnoteReference"/>
        </w:rPr>
        <w:footnoteRef/>
      </w:r>
      <w:r>
        <w:t xml:space="preserve"> </w:t>
      </w:r>
      <w:r>
        <w:rPr>
          <w:i/>
        </w:rPr>
        <w:t>Id</w:t>
      </w:r>
      <w:r>
        <w:t>, 6-8 [12]-[20].</w:t>
      </w:r>
    </w:p>
  </w:footnote>
  <w:footnote w:id="12">
    <w:p w14:paraId="50114CB9" w14:textId="77777777" w:rsidR="00AF1BC1" w:rsidRPr="00D4036F" w:rsidRDefault="00AF1BC1" w:rsidP="00AF1BC1">
      <w:pPr>
        <w:pStyle w:val="FootnoteText"/>
      </w:pPr>
      <w:r>
        <w:rPr>
          <w:rStyle w:val="FootnoteReference"/>
        </w:rPr>
        <w:footnoteRef/>
      </w:r>
      <w:r>
        <w:t xml:space="preserve"> </w:t>
      </w:r>
      <w:r>
        <w:rPr>
          <w:i/>
        </w:rPr>
        <w:t>Id,</w:t>
      </w:r>
      <w:r>
        <w:t xml:space="preserve"> 10-13 [28]-46].</w:t>
      </w:r>
    </w:p>
  </w:footnote>
  <w:footnote w:id="13">
    <w:p w14:paraId="399A79A6" w14:textId="77777777" w:rsidR="00AF1BC1" w:rsidRPr="008A6818" w:rsidRDefault="00AF1BC1" w:rsidP="00AF1BC1">
      <w:pPr>
        <w:pStyle w:val="FootnoteText"/>
      </w:pPr>
      <w:r>
        <w:rPr>
          <w:rStyle w:val="FootnoteReference"/>
        </w:rPr>
        <w:footnoteRef/>
      </w:r>
      <w:r>
        <w:t xml:space="preserve"> </w:t>
      </w:r>
      <w:r>
        <w:rPr>
          <w:i/>
        </w:rPr>
        <w:t>Id</w:t>
      </w:r>
      <w:r>
        <w:t>, 15-18 [63]-[78].</w:t>
      </w:r>
    </w:p>
  </w:footnote>
  <w:footnote w:id="14">
    <w:p w14:paraId="02724DC4" w14:textId="77777777" w:rsidR="00AF1BC1" w:rsidRPr="008A6818" w:rsidRDefault="00AF1BC1" w:rsidP="00AF1BC1">
      <w:pPr>
        <w:pStyle w:val="FootnoteText"/>
      </w:pPr>
      <w:r>
        <w:rPr>
          <w:rStyle w:val="FootnoteReference"/>
        </w:rPr>
        <w:footnoteRef/>
      </w:r>
      <w:r>
        <w:t xml:space="preserve"> </w:t>
      </w:r>
      <w:r>
        <w:rPr>
          <w:i/>
        </w:rPr>
        <w:t>Id,</w:t>
      </w:r>
      <w:r>
        <w:t xml:space="preserve"> 16 [67]-[68].</w:t>
      </w:r>
    </w:p>
  </w:footnote>
  <w:footnote w:id="15">
    <w:p w14:paraId="174709B3" w14:textId="77777777" w:rsidR="00CB0C71" w:rsidRPr="008A6818" w:rsidRDefault="00CB0C71" w:rsidP="00CB0C71">
      <w:pPr>
        <w:pStyle w:val="FootnoteText"/>
      </w:pPr>
      <w:r>
        <w:rPr>
          <w:rStyle w:val="FootnoteReference"/>
        </w:rPr>
        <w:footnoteRef/>
      </w:r>
      <w:r>
        <w:t xml:space="preserve"> B. Harden, </w:t>
      </w:r>
      <w:r>
        <w:rPr>
          <w:i/>
        </w:rPr>
        <w:t>Escape from Camp 14</w:t>
      </w:r>
      <w:r>
        <w:t>, Penguin, New York, 2013.</w:t>
      </w:r>
    </w:p>
  </w:footnote>
  <w:footnote w:id="16">
    <w:p w14:paraId="1D0981E1" w14:textId="77777777" w:rsidR="00CB0C71" w:rsidRDefault="00CB0C71" w:rsidP="00CB0C71">
      <w:pPr>
        <w:pStyle w:val="FootnoteText"/>
      </w:pPr>
      <w:r>
        <w:rPr>
          <w:rStyle w:val="FootnoteReference"/>
        </w:rPr>
        <w:footnoteRef/>
      </w:r>
      <w:r>
        <w:t xml:space="preserve"> Jiyoung Song, “Unreliable Witnesses: The Challenge of Separating Truth from Fiction When it Comes to North Korea”, available http://www.policyforum.net/unreliablewitnesses/</w:t>
      </w:r>
    </w:p>
  </w:footnote>
  <w:footnote w:id="17">
    <w:p w14:paraId="621155F4" w14:textId="77777777" w:rsidR="00CB0C71" w:rsidRPr="008A6818" w:rsidRDefault="00CB0C71" w:rsidP="00CB0C71">
      <w:pPr>
        <w:pStyle w:val="FootnoteText"/>
      </w:pPr>
      <w:r>
        <w:rPr>
          <w:rStyle w:val="FootnoteReference"/>
        </w:rPr>
        <w:footnoteRef/>
      </w:r>
      <w:r>
        <w:t xml:space="preserve"> </w:t>
      </w:r>
      <w:r>
        <w:rPr>
          <w:i/>
        </w:rPr>
        <w:t>Ibid,</w:t>
      </w:r>
      <w:r>
        <w:t xml:space="preserve"> 6.</w:t>
      </w:r>
    </w:p>
  </w:footnote>
  <w:footnote w:id="18">
    <w:p w14:paraId="6BF1E7A1" w14:textId="566F2E3A" w:rsidR="00A33506" w:rsidRPr="009260A9" w:rsidRDefault="00A33506" w:rsidP="00A33506">
      <w:pPr>
        <w:pStyle w:val="FootnoteText"/>
      </w:pPr>
      <w:r>
        <w:rPr>
          <w:rStyle w:val="FootnoteReference"/>
        </w:rPr>
        <w:footnoteRef/>
      </w:r>
      <w:r>
        <w:t xml:space="preserve"> For example as a member of the International Labour Organisation Fact-Finding and Conciliation Commission on Freedom of Association, Inquiry into South Africa (1991-92); </w:t>
      </w:r>
      <w:r w:rsidR="00393190">
        <w:t xml:space="preserve">as </w:t>
      </w:r>
      <w:r>
        <w:t xml:space="preserve">United Nations Special Representative of the Secretary-General for Human Rights in Cambodia (1993-6); and as a member of the </w:t>
      </w:r>
      <w:r w:rsidRPr="009260A9">
        <w:t>United Nations Development Programme</w:t>
      </w:r>
      <w:r w:rsidRPr="009260A9">
        <w:rPr>
          <w:i/>
        </w:rPr>
        <w:t xml:space="preserve"> Global Commission on HIV and the Law, Risks, Rights &amp; Health</w:t>
      </w:r>
      <w:r>
        <w:rPr>
          <w:i/>
        </w:rPr>
        <w:t>,</w:t>
      </w:r>
      <w:r>
        <w:t xml:space="preserve"> New York, July 2012.</w:t>
      </w:r>
    </w:p>
  </w:footnote>
  <w:footnote w:id="19">
    <w:p w14:paraId="5650E054" w14:textId="280B4B97" w:rsidR="00A33506" w:rsidRDefault="00A33506" w:rsidP="00A33506">
      <w:pPr>
        <w:pStyle w:val="FootnoteText"/>
      </w:pPr>
      <w:r>
        <w:rPr>
          <w:rStyle w:val="FootnoteReference"/>
        </w:rPr>
        <w:footnoteRef/>
      </w:r>
      <w:r>
        <w:t xml:space="preserve"> J. Song, above n.</w:t>
      </w:r>
      <w:r w:rsidR="00B439E9">
        <w:t>13</w:t>
      </w:r>
      <w:r>
        <w:t>, 2-3.</w:t>
      </w:r>
    </w:p>
  </w:footnote>
  <w:footnote w:id="20">
    <w:p w14:paraId="14A034C7" w14:textId="2E42934E" w:rsidR="00A33506" w:rsidRPr="009260A9" w:rsidRDefault="00A33506" w:rsidP="00A33506">
      <w:pPr>
        <w:pStyle w:val="FootnoteText"/>
      </w:pPr>
      <w:r>
        <w:rPr>
          <w:rStyle w:val="FootnoteReference"/>
        </w:rPr>
        <w:footnoteRef/>
      </w:r>
      <w:r>
        <w:t xml:space="preserve"> These are qualities identified in the </w:t>
      </w:r>
      <w:r w:rsidRPr="009260A9">
        <w:rPr>
          <w:i/>
        </w:rPr>
        <w:t>Bangalore Principles of Judicial Conduct</w:t>
      </w:r>
      <w:r>
        <w:t xml:space="preserve">.  See United Nations </w:t>
      </w:r>
      <w:r w:rsidR="00B546F7">
        <w:t>O</w:t>
      </w:r>
      <w:r w:rsidR="002B19A4">
        <w:t xml:space="preserve">ffice on Drugs and Crime, </w:t>
      </w:r>
      <w:r w:rsidR="002B19A4" w:rsidRPr="002B19A4">
        <w:rPr>
          <w:i/>
        </w:rPr>
        <w:t>C</w:t>
      </w:r>
      <w:r w:rsidRPr="002B19A4">
        <w:rPr>
          <w:i/>
        </w:rPr>
        <w:t>ommentary on</w:t>
      </w:r>
      <w:r>
        <w:t xml:space="preserve"> </w:t>
      </w:r>
      <w:r w:rsidRPr="002B19A4">
        <w:rPr>
          <w:i/>
        </w:rPr>
        <w:t>the</w:t>
      </w:r>
      <w:r>
        <w:t xml:space="preserve"> </w:t>
      </w:r>
      <w:r w:rsidRPr="009260A9">
        <w:rPr>
          <w:i/>
        </w:rPr>
        <w:t>Bangalore Principles of Judicial Conduct</w:t>
      </w:r>
      <w:r>
        <w:t xml:space="preserve"> (UNODC, Vienna</w:t>
      </w:r>
      <w:r w:rsidR="00B546F7">
        <w:t>,</w:t>
      </w:r>
      <w:r w:rsidR="00B546F7" w:rsidRPr="00B546F7">
        <w:rPr>
          <w:sz w:val="24"/>
          <w:szCs w:val="24"/>
        </w:rPr>
        <w:t xml:space="preserve"> </w:t>
      </w:r>
      <w:r w:rsidR="00B546F7" w:rsidRPr="00B546F7">
        <w:t>2007</w:t>
      </w:r>
      <w:r>
        <w:t>).</w:t>
      </w:r>
    </w:p>
  </w:footnote>
  <w:footnote w:id="21">
    <w:p w14:paraId="5D638408" w14:textId="77777777" w:rsidR="007E34F8" w:rsidRPr="009260A9" w:rsidRDefault="007E34F8" w:rsidP="007E34F8">
      <w:pPr>
        <w:pStyle w:val="FootnoteText"/>
      </w:pPr>
      <w:r>
        <w:rPr>
          <w:rStyle w:val="FootnoteReference"/>
        </w:rPr>
        <w:footnoteRef/>
      </w:r>
      <w:r>
        <w:t xml:space="preserve"> Steven Borowiec, “North Korea’s New Tactic: Discredit Those Who Report Human Rights Abuses - Analysis” in </w:t>
      </w:r>
      <w:r>
        <w:rPr>
          <w:i/>
        </w:rPr>
        <w:t>Eurasia Review</w:t>
      </w:r>
      <w:r>
        <w:t xml:space="preserve"> (March 2015).</w:t>
      </w:r>
    </w:p>
  </w:footnote>
  <w:footnote w:id="22">
    <w:p w14:paraId="37AD1C33" w14:textId="77777777" w:rsidR="00B546F7" w:rsidRDefault="00B546F7" w:rsidP="00B546F7">
      <w:pPr>
        <w:pStyle w:val="FootnoteText"/>
      </w:pPr>
      <w:r>
        <w:rPr>
          <w:rStyle w:val="FootnoteReference"/>
        </w:rPr>
        <w:footnoteRef/>
      </w:r>
      <w:r>
        <w:t xml:space="preserve"> COI report, 350-351 [1155]-[1159].</w:t>
      </w:r>
    </w:p>
  </w:footnote>
  <w:footnote w:id="23">
    <w:p w14:paraId="65F261C4" w14:textId="77777777" w:rsidR="00F455BB" w:rsidRPr="009260A9" w:rsidRDefault="00F455BB" w:rsidP="00F455BB">
      <w:pPr>
        <w:pStyle w:val="FootnoteText"/>
      </w:pPr>
      <w:r>
        <w:rPr>
          <w:rStyle w:val="FootnoteReference"/>
        </w:rPr>
        <w:footnoteRef/>
      </w:r>
      <w:r>
        <w:t xml:space="preserve"> </w:t>
      </w:r>
      <w:r>
        <w:rPr>
          <w:i/>
        </w:rPr>
        <w:t>Id,</w:t>
      </w:r>
      <w:r>
        <w:t xml:space="preserve"> 365 [1211].</w:t>
      </w:r>
    </w:p>
  </w:footnote>
  <w:footnote w:id="24">
    <w:p w14:paraId="47A4A1D5" w14:textId="77777777" w:rsidR="00F455BB" w:rsidRPr="009260A9" w:rsidRDefault="00F455BB" w:rsidP="00F455BB">
      <w:pPr>
        <w:pStyle w:val="FootnoteText"/>
      </w:pPr>
      <w:r>
        <w:rPr>
          <w:rStyle w:val="FootnoteReference"/>
        </w:rPr>
        <w:footnoteRef/>
      </w:r>
      <w:r>
        <w:t xml:space="preserve"> B. Harden, “How can we know North Korea stories are true?” in </w:t>
      </w:r>
      <w:r>
        <w:rPr>
          <w:i/>
        </w:rPr>
        <w:t>Washington Post</w:t>
      </w:r>
      <w:r>
        <w:t>, August 9, 2015, B1 and B5.</w:t>
      </w:r>
    </w:p>
  </w:footnote>
  <w:footnote w:id="25">
    <w:p w14:paraId="1BF37C3B" w14:textId="77777777" w:rsidR="00F455BB" w:rsidRPr="009260A9" w:rsidRDefault="00F455BB" w:rsidP="00F455BB">
      <w:pPr>
        <w:pStyle w:val="FootnoteText"/>
      </w:pPr>
      <w:r>
        <w:rPr>
          <w:rStyle w:val="FootnoteReference"/>
        </w:rPr>
        <w:footnoteRef/>
      </w:r>
      <w:r>
        <w:t xml:space="preserve"> This occurred in Australia following the death of an infant Azaria Chamberlain which was the subject of several cases and ultimately a Royal Commission that cleared her mother of a charge of murder.  See </w:t>
      </w:r>
      <w:r>
        <w:rPr>
          <w:i/>
        </w:rPr>
        <w:t>Chamberlain v The Queen</w:t>
      </w:r>
      <w:r>
        <w:t xml:space="preserve"> [No.1] (1983) 153 CLR 514; [No.2] (1984) 153 CLR 521. </w:t>
      </w:r>
    </w:p>
  </w:footnote>
  <w:footnote w:id="26">
    <w:p w14:paraId="4217AD0F" w14:textId="6980B36B" w:rsidR="00F455BB" w:rsidRPr="009260A9" w:rsidRDefault="00F455BB" w:rsidP="00F455BB">
      <w:pPr>
        <w:pStyle w:val="FootnoteText"/>
      </w:pPr>
      <w:r>
        <w:rPr>
          <w:rStyle w:val="FootnoteReference"/>
        </w:rPr>
        <w:footnoteRef/>
      </w:r>
      <w:r>
        <w:t xml:space="preserve"> H</w:t>
      </w:r>
      <w:r w:rsidR="00B439E9">
        <w:t>ayley</w:t>
      </w:r>
      <w:r>
        <w:t xml:space="preserve"> Bennett </w:t>
      </w:r>
      <w:r w:rsidR="00B439E9">
        <w:t xml:space="preserve">and G.A. Broe, “The Neurobiology of Achieving a Comfortable Satisfaction” (2014) 26 NSW </w:t>
      </w:r>
      <w:r w:rsidR="00B439E9">
        <w:rPr>
          <w:i/>
        </w:rPr>
        <w:t>Judicial Officers Bulletin,</w:t>
      </w:r>
      <w:r w:rsidR="00B439E9">
        <w:t xml:space="preserve"> no. 8 (September 2014), 65.</w:t>
      </w:r>
    </w:p>
  </w:footnote>
  <w:footnote w:id="27">
    <w:p w14:paraId="3002A512" w14:textId="7B4913EB" w:rsidR="003E3B62" w:rsidRDefault="003E3B62" w:rsidP="003E3B62">
      <w:pPr>
        <w:pStyle w:val="FootnoteText"/>
      </w:pPr>
      <w:r>
        <w:rPr>
          <w:rStyle w:val="FootnoteReference"/>
        </w:rPr>
        <w:footnoteRef/>
      </w:r>
      <w:r>
        <w:t xml:space="preserve"> </w:t>
      </w:r>
      <w:r w:rsidRPr="001E02B4">
        <w:t xml:space="preserve">E. Kyrou, </w:t>
      </w:r>
      <w:r w:rsidR="00B439E9">
        <w:t xml:space="preserve">“Judging in a Multicultural Society”, </w:t>
      </w:r>
      <w:r w:rsidR="00B439E9">
        <w:rPr>
          <w:i/>
        </w:rPr>
        <w:t>Law Society Journal</w:t>
      </w:r>
      <w:r w:rsidR="00B439E9">
        <w:t xml:space="preserve"> (NSW), April 2015, 20 at 22</w:t>
      </w:r>
      <w:r w:rsidRPr="001E02B4">
        <w:t xml:space="preserve">.  Justice Kyrou raises a number of </w:t>
      </w:r>
      <w:r>
        <w:t xml:space="preserve">novel </w:t>
      </w:r>
      <w:r w:rsidRPr="001E02B4">
        <w:t>questions and offers suggestions.</w:t>
      </w:r>
    </w:p>
  </w:footnote>
  <w:footnote w:id="28">
    <w:p w14:paraId="79CABD70" w14:textId="405F3AEB" w:rsidR="003E3B62" w:rsidRDefault="003E3B62" w:rsidP="003E3B62">
      <w:pPr>
        <w:pStyle w:val="FootnoteText"/>
      </w:pPr>
      <w:r>
        <w:rPr>
          <w:rStyle w:val="FootnoteReference"/>
        </w:rPr>
        <w:footnoteRef/>
      </w:r>
      <w:r>
        <w:t xml:space="preserve"> For example</w:t>
      </w:r>
      <w:r w:rsidRPr="001E02B4">
        <w:t xml:space="preserve"> observations on the dangers of identification evidence in </w:t>
      </w:r>
      <w:r w:rsidRPr="001E02B4">
        <w:rPr>
          <w:i/>
        </w:rPr>
        <w:t>Domican v the Queen</w:t>
      </w:r>
      <w:r w:rsidRPr="001E02B4">
        <w:t xml:space="preserve"> (1992) 173 CLR 555.</w:t>
      </w:r>
    </w:p>
  </w:footnote>
  <w:footnote w:id="29">
    <w:p w14:paraId="154F4624" w14:textId="04556D5A" w:rsidR="003E3B62" w:rsidRPr="003E3B62" w:rsidRDefault="003E3B62">
      <w:pPr>
        <w:pStyle w:val="FootnoteText"/>
      </w:pPr>
      <w:r>
        <w:rPr>
          <w:rStyle w:val="FootnoteReference"/>
        </w:rPr>
        <w:footnoteRef/>
      </w:r>
      <w:r>
        <w:t xml:space="preserve"> </w:t>
      </w:r>
      <w:r>
        <w:rPr>
          <w:i/>
        </w:rPr>
        <w:t>St. John’s Gospel,</w:t>
      </w:r>
      <w:r>
        <w:t xml:space="preserve"> Ch. 18, v.38.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3169E1"/>
    <w:multiLevelType w:val="hybridMultilevel"/>
    <w:tmpl w:val="6D5A7B80"/>
    <w:lvl w:ilvl="0" w:tplc="A7E2F59A">
      <w:start w:val="1"/>
      <w:numFmt w:val="bullet"/>
      <w:lvlText w:val=""/>
      <w:lvlJc w:val="left"/>
      <w:pPr>
        <w:ind w:left="800" w:hanging="360"/>
      </w:pPr>
      <w:rPr>
        <w:rFonts w:ascii="Symbol" w:hAnsi="Symbol" w:hint="default"/>
      </w:rPr>
    </w:lvl>
    <w:lvl w:ilvl="1" w:tplc="0C090003" w:tentative="1">
      <w:start w:val="1"/>
      <w:numFmt w:val="bullet"/>
      <w:lvlText w:val="o"/>
      <w:lvlJc w:val="left"/>
      <w:pPr>
        <w:ind w:left="1520" w:hanging="360"/>
      </w:pPr>
      <w:rPr>
        <w:rFonts w:ascii="Courier New" w:hAnsi="Courier New" w:cs="Courier New" w:hint="default"/>
      </w:rPr>
    </w:lvl>
    <w:lvl w:ilvl="2" w:tplc="0C090005" w:tentative="1">
      <w:start w:val="1"/>
      <w:numFmt w:val="bullet"/>
      <w:lvlText w:val=""/>
      <w:lvlJc w:val="left"/>
      <w:pPr>
        <w:ind w:left="2240" w:hanging="360"/>
      </w:pPr>
      <w:rPr>
        <w:rFonts w:ascii="Wingdings" w:hAnsi="Wingdings" w:hint="default"/>
      </w:rPr>
    </w:lvl>
    <w:lvl w:ilvl="3" w:tplc="0C090001" w:tentative="1">
      <w:start w:val="1"/>
      <w:numFmt w:val="bullet"/>
      <w:lvlText w:val=""/>
      <w:lvlJc w:val="left"/>
      <w:pPr>
        <w:ind w:left="2960" w:hanging="360"/>
      </w:pPr>
      <w:rPr>
        <w:rFonts w:ascii="Symbol" w:hAnsi="Symbol" w:hint="default"/>
      </w:rPr>
    </w:lvl>
    <w:lvl w:ilvl="4" w:tplc="0C090003" w:tentative="1">
      <w:start w:val="1"/>
      <w:numFmt w:val="bullet"/>
      <w:lvlText w:val="o"/>
      <w:lvlJc w:val="left"/>
      <w:pPr>
        <w:ind w:left="3680" w:hanging="360"/>
      </w:pPr>
      <w:rPr>
        <w:rFonts w:ascii="Courier New" w:hAnsi="Courier New" w:cs="Courier New" w:hint="default"/>
      </w:rPr>
    </w:lvl>
    <w:lvl w:ilvl="5" w:tplc="0C090005" w:tentative="1">
      <w:start w:val="1"/>
      <w:numFmt w:val="bullet"/>
      <w:lvlText w:val=""/>
      <w:lvlJc w:val="left"/>
      <w:pPr>
        <w:ind w:left="4400" w:hanging="360"/>
      </w:pPr>
      <w:rPr>
        <w:rFonts w:ascii="Wingdings" w:hAnsi="Wingdings" w:hint="default"/>
      </w:rPr>
    </w:lvl>
    <w:lvl w:ilvl="6" w:tplc="0C090001" w:tentative="1">
      <w:start w:val="1"/>
      <w:numFmt w:val="bullet"/>
      <w:lvlText w:val=""/>
      <w:lvlJc w:val="left"/>
      <w:pPr>
        <w:ind w:left="5120" w:hanging="360"/>
      </w:pPr>
      <w:rPr>
        <w:rFonts w:ascii="Symbol" w:hAnsi="Symbol" w:hint="default"/>
      </w:rPr>
    </w:lvl>
    <w:lvl w:ilvl="7" w:tplc="0C090003" w:tentative="1">
      <w:start w:val="1"/>
      <w:numFmt w:val="bullet"/>
      <w:lvlText w:val="o"/>
      <w:lvlJc w:val="left"/>
      <w:pPr>
        <w:ind w:left="5840" w:hanging="360"/>
      </w:pPr>
      <w:rPr>
        <w:rFonts w:ascii="Courier New" w:hAnsi="Courier New" w:cs="Courier New" w:hint="default"/>
      </w:rPr>
    </w:lvl>
    <w:lvl w:ilvl="8" w:tplc="0C090005" w:tentative="1">
      <w:start w:val="1"/>
      <w:numFmt w:val="bullet"/>
      <w:lvlText w:val=""/>
      <w:lvlJc w:val="left"/>
      <w:pPr>
        <w:ind w:left="6560" w:hanging="360"/>
      </w:pPr>
      <w:rPr>
        <w:rFonts w:ascii="Wingdings" w:hAnsi="Wingdings" w:hint="default"/>
      </w:rPr>
    </w:lvl>
  </w:abstractNum>
  <w:abstractNum w:abstractNumId="1">
    <w:nsid w:val="0F032843"/>
    <w:multiLevelType w:val="hybridMultilevel"/>
    <w:tmpl w:val="697E863E"/>
    <w:lvl w:ilvl="0" w:tplc="63006D10">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FA26AA0"/>
    <w:multiLevelType w:val="hybridMultilevel"/>
    <w:tmpl w:val="76668140"/>
    <w:lvl w:ilvl="0" w:tplc="A9965536">
      <w:start w:val="45"/>
      <w:numFmt w:val="bullet"/>
      <w:lvlText w:val=""/>
      <w:lvlJc w:val="left"/>
      <w:pPr>
        <w:ind w:left="1155" w:hanging="360"/>
      </w:pPr>
      <w:rPr>
        <w:rFonts w:ascii="Symbol" w:eastAsiaTheme="minorHAnsi" w:hAnsi="Symbol" w:cs="Times New Roman" w:hint="default"/>
      </w:rPr>
    </w:lvl>
    <w:lvl w:ilvl="1" w:tplc="0C090003" w:tentative="1">
      <w:start w:val="1"/>
      <w:numFmt w:val="bullet"/>
      <w:lvlText w:val="o"/>
      <w:lvlJc w:val="left"/>
      <w:pPr>
        <w:ind w:left="1875" w:hanging="360"/>
      </w:pPr>
      <w:rPr>
        <w:rFonts w:ascii="Courier New" w:hAnsi="Courier New" w:cs="Courier New" w:hint="default"/>
      </w:rPr>
    </w:lvl>
    <w:lvl w:ilvl="2" w:tplc="0C090005" w:tentative="1">
      <w:start w:val="1"/>
      <w:numFmt w:val="bullet"/>
      <w:lvlText w:val=""/>
      <w:lvlJc w:val="left"/>
      <w:pPr>
        <w:ind w:left="2595" w:hanging="360"/>
      </w:pPr>
      <w:rPr>
        <w:rFonts w:ascii="Wingdings" w:hAnsi="Wingdings" w:hint="default"/>
      </w:rPr>
    </w:lvl>
    <w:lvl w:ilvl="3" w:tplc="0C090001" w:tentative="1">
      <w:start w:val="1"/>
      <w:numFmt w:val="bullet"/>
      <w:lvlText w:val=""/>
      <w:lvlJc w:val="left"/>
      <w:pPr>
        <w:ind w:left="3315" w:hanging="360"/>
      </w:pPr>
      <w:rPr>
        <w:rFonts w:ascii="Symbol" w:hAnsi="Symbol" w:hint="default"/>
      </w:rPr>
    </w:lvl>
    <w:lvl w:ilvl="4" w:tplc="0C090003" w:tentative="1">
      <w:start w:val="1"/>
      <w:numFmt w:val="bullet"/>
      <w:lvlText w:val="o"/>
      <w:lvlJc w:val="left"/>
      <w:pPr>
        <w:ind w:left="4035" w:hanging="360"/>
      </w:pPr>
      <w:rPr>
        <w:rFonts w:ascii="Courier New" w:hAnsi="Courier New" w:cs="Courier New" w:hint="default"/>
      </w:rPr>
    </w:lvl>
    <w:lvl w:ilvl="5" w:tplc="0C090005" w:tentative="1">
      <w:start w:val="1"/>
      <w:numFmt w:val="bullet"/>
      <w:lvlText w:val=""/>
      <w:lvlJc w:val="left"/>
      <w:pPr>
        <w:ind w:left="4755" w:hanging="360"/>
      </w:pPr>
      <w:rPr>
        <w:rFonts w:ascii="Wingdings" w:hAnsi="Wingdings" w:hint="default"/>
      </w:rPr>
    </w:lvl>
    <w:lvl w:ilvl="6" w:tplc="0C090001" w:tentative="1">
      <w:start w:val="1"/>
      <w:numFmt w:val="bullet"/>
      <w:lvlText w:val=""/>
      <w:lvlJc w:val="left"/>
      <w:pPr>
        <w:ind w:left="5475" w:hanging="360"/>
      </w:pPr>
      <w:rPr>
        <w:rFonts w:ascii="Symbol" w:hAnsi="Symbol" w:hint="default"/>
      </w:rPr>
    </w:lvl>
    <w:lvl w:ilvl="7" w:tplc="0C090003" w:tentative="1">
      <w:start w:val="1"/>
      <w:numFmt w:val="bullet"/>
      <w:lvlText w:val="o"/>
      <w:lvlJc w:val="left"/>
      <w:pPr>
        <w:ind w:left="6195" w:hanging="360"/>
      </w:pPr>
      <w:rPr>
        <w:rFonts w:ascii="Courier New" w:hAnsi="Courier New" w:cs="Courier New" w:hint="default"/>
      </w:rPr>
    </w:lvl>
    <w:lvl w:ilvl="8" w:tplc="0C090005" w:tentative="1">
      <w:start w:val="1"/>
      <w:numFmt w:val="bullet"/>
      <w:lvlText w:val=""/>
      <w:lvlJc w:val="left"/>
      <w:pPr>
        <w:ind w:left="6915" w:hanging="360"/>
      </w:pPr>
      <w:rPr>
        <w:rFonts w:ascii="Wingdings" w:hAnsi="Wingdings" w:hint="default"/>
      </w:rPr>
    </w:lvl>
  </w:abstractNum>
  <w:abstractNum w:abstractNumId="3">
    <w:nsid w:val="1137287C"/>
    <w:multiLevelType w:val="hybridMultilevel"/>
    <w:tmpl w:val="9508CD8C"/>
    <w:lvl w:ilvl="0" w:tplc="0C09000F">
      <w:start w:val="1"/>
      <w:numFmt w:val="decimal"/>
      <w:lvlText w:val="%1."/>
      <w:lvlJc w:val="left"/>
      <w:pPr>
        <w:ind w:left="1010" w:hanging="360"/>
      </w:pPr>
    </w:lvl>
    <w:lvl w:ilvl="1" w:tplc="0C090019" w:tentative="1">
      <w:start w:val="1"/>
      <w:numFmt w:val="lowerLetter"/>
      <w:lvlText w:val="%2."/>
      <w:lvlJc w:val="left"/>
      <w:pPr>
        <w:ind w:left="1730" w:hanging="360"/>
      </w:pPr>
    </w:lvl>
    <w:lvl w:ilvl="2" w:tplc="0C09001B" w:tentative="1">
      <w:start w:val="1"/>
      <w:numFmt w:val="lowerRoman"/>
      <w:lvlText w:val="%3."/>
      <w:lvlJc w:val="right"/>
      <w:pPr>
        <w:ind w:left="2450" w:hanging="180"/>
      </w:pPr>
    </w:lvl>
    <w:lvl w:ilvl="3" w:tplc="0C09000F" w:tentative="1">
      <w:start w:val="1"/>
      <w:numFmt w:val="decimal"/>
      <w:lvlText w:val="%4."/>
      <w:lvlJc w:val="left"/>
      <w:pPr>
        <w:ind w:left="3170" w:hanging="360"/>
      </w:pPr>
    </w:lvl>
    <w:lvl w:ilvl="4" w:tplc="0C090019" w:tentative="1">
      <w:start w:val="1"/>
      <w:numFmt w:val="lowerLetter"/>
      <w:lvlText w:val="%5."/>
      <w:lvlJc w:val="left"/>
      <w:pPr>
        <w:ind w:left="3890" w:hanging="360"/>
      </w:pPr>
    </w:lvl>
    <w:lvl w:ilvl="5" w:tplc="0C09001B" w:tentative="1">
      <w:start w:val="1"/>
      <w:numFmt w:val="lowerRoman"/>
      <w:lvlText w:val="%6."/>
      <w:lvlJc w:val="right"/>
      <w:pPr>
        <w:ind w:left="4610" w:hanging="180"/>
      </w:pPr>
    </w:lvl>
    <w:lvl w:ilvl="6" w:tplc="0C09000F" w:tentative="1">
      <w:start w:val="1"/>
      <w:numFmt w:val="decimal"/>
      <w:lvlText w:val="%7."/>
      <w:lvlJc w:val="left"/>
      <w:pPr>
        <w:ind w:left="5330" w:hanging="360"/>
      </w:pPr>
    </w:lvl>
    <w:lvl w:ilvl="7" w:tplc="0C090019" w:tentative="1">
      <w:start w:val="1"/>
      <w:numFmt w:val="lowerLetter"/>
      <w:lvlText w:val="%8."/>
      <w:lvlJc w:val="left"/>
      <w:pPr>
        <w:ind w:left="6050" w:hanging="360"/>
      </w:pPr>
    </w:lvl>
    <w:lvl w:ilvl="8" w:tplc="0C09001B" w:tentative="1">
      <w:start w:val="1"/>
      <w:numFmt w:val="lowerRoman"/>
      <w:lvlText w:val="%9."/>
      <w:lvlJc w:val="right"/>
      <w:pPr>
        <w:ind w:left="6770" w:hanging="180"/>
      </w:pPr>
    </w:lvl>
  </w:abstractNum>
  <w:abstractNum w:abstractNumId="4">
    <w:nsid w:val="11D41405"/>
    <w:multiLevelType w:val="hybridMultilevel"/>
    <w:tmpl w:val="7AA472AA"/>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5FD457F"/>
    <w:multiLevelType w:val="hybridMultilevel"/>
    <w:tmpl w:val="11DEE742"/>
    <w:lvl w:ilvl="0" w:tplc="18B42386">
      <w:start w:val="1"/>
      <w:numFmt w:val="upp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C5B61A5"/>
    <w:multiLevelType w:val="hybridMultilevel"/>
    <w:tmpl w:val="4A8433BE"/>
    <w:lvl w:ilvl="0" w:tplc="516E46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DFD0421"/>
    <w:multiLevelType w:val="hybridMultilevel"/>
    <w:tmpl w:val="073012F6"/>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38F250B"/>
    <w:multiLevelType w:val="hybridMultilevel"/>
    <w:tmpl w:val="305215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6F3574D"/>
    <w:multiLevelType w:val="hybridMultilevel"/>
    <w:tmpl w:val="7616BC98"/>
    <w:lvl w:ilvl="0" w:tplc="A7E2F59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97744FD"/>
    <w:multiLevelType w:val="hybridMultilevel"/>
    <w:tmpl w:val="DBA25EDE"/>
    <w:lvl w:ilvl="0" w:tplc="A7E2F59A">
      <w:start w:val="1"/>
      <w:numFmt w:val="bullet"/>
      <w:lvlText w:val=""/>
      <w:lvlJc w:val="left"/>
      <w:pPr>
        <w:ind w:left="880" w:hanging="360"/>
      </w:pPr>
      <w:rPr>
        <w:rFonts w:ascii="Symbol" w:hAnsi="Symbol"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1">
    <w:nsid w:val="3C57143C"/>
    <w:multiLevelType w:val="hybridMultilevel"/>
    <w:tmpl w:val="EFCC1A34"/>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05300BF"/>
    <w:multiLevelType w:val="hybridMultilevel"/>
    <w:tmpl w:val="7B3E561E"/>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802690"/>
    <w:multiLevelType w:val="hybridMultilevel"/>
    <w:tmpl w:val="487C4182"/>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620709"/>
    <w:multiLevelType w:val="hybridMultilevel"/>
    <w:tmpl w:val="CDCA5E12"/>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37277A"/>
    <w:multiLevelType w:val="hybridMultilevel"/>
    <w:tmpl w:val="9F66AB6E"/>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D764038"/>
    <w:multiLevelType w:val="hybridMultilevel"/>
    <w:tmpl w:val="2CF4FC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EE54083"/>
    <w:multiLevelType w:val="hybridMultilevel"/>
    <w:tmpl w:val="4674201E"/>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E27DA4"/>
    <w:multiLevelType w:val="hybridMultilevel"/>
    <w:tmpl w:val="8C1A6AC6"/>
    <w:lvl w:ilvl="0" w:tplc="516E468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18B5B73"/>
    <w:multiLevelType w:val="hybridMultilevel"/>
    <w:tmpl w:val="23329AA8"/>
    <w:lvl w:ilvl="0" w:tplc="516E468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nsid w:val="64684052"/>
    <w:multiLevelType w:val="hybridMultilevel"/>
    <w:tmpl w:val="8BFCDD6A"/>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82B7AC4"/>
    <w:multiLevelType w:val="hybridMultilevel"/>
    <w:tmpl w:val="4D984D40"/>
    <w:lvl w:ilvl="0" w:tplc="516E4682">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695B286C"/>
    <w:multiLevelType w:val="hybridMultilevel"/>
    <w:tmpl w:val="F6C6CC3C"/>
    <w:lvl w:ilvl="0" w:tplc="516E4682">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6EAF7868"/>
    <w:multiLevelType w:val="hybridMultilevel"/>
    <w:tmpl w:val="11625B8E"/>
    <w:lvl w:ilvl="0" w:tplc="A7E2F5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2C52D58"/>
    <w:multiLevelType w:val="hybridMultilevel"/>
    <w:tmpl w:val="0936AD3C"/>
    <w:lvl w:ilvl="0" w:tplc="95D80E4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nsid w:val="75505E3E"/>
    <w:multiLevelType w:val="hybridMultilevel"/>
    <w:tmpl w:val="78608F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F6A620C"/>
    <w:multiLevelType w:val="hybridMultilevel"/>
    <w:tmpl w:val="C45A397E"/>
    <w:lvl w:ilvl="0" w:tplc="6AAA5D1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0"/>
  </w:num>
  <w:num w:numId="2">
    <w:abstractNumId w:val="13"/>
  </w:num>
  <w:num w:numId="3">
    <w:abstractNumId w:val="4"/>
  </w:num>
  <w:num w:numId="4">
    <w:abstractNumId w:val="5"/>
  </w:num>
  <w:num w:numId="5">
    <w:abstractNumId w:val="11"/>
  </w:num>
  <w:num w:numId="6">
    <w:abstractNumId w:val="7"/>
  </w:num>
  <w:num w:numId="7">
    <w:abstractNumId w:val="6"/>
  </w:num>
  <w:num w:numId="8">
    <w:abstractNumId w:val="22"/>
  </w:num>
  <w:num w:numId="9">
    <w:abstractNumId w:val="19"/>
  </w:num>
  <w:num w:numId="10">
    <w:abstractNumId w:val="21"/>
  </w:num>
  <w:num w:numId="11">
    <w:abstractNumId w:val="18"/>
  </w:num>
  <w:num w:numId="12">
    <w:abstractNumId w:val="25"/>
  </w:num>
  <w:num w:numId="13">
    <w:abstractNumId w:val="16"/>
  </w:num>
  <w:num w:numId="14">
    <w:abstractNumId w:val="17"/>
  </w:num>
  <w:num w:numId="15">
    <w:abstractNumId w:val="12"/>
  </w:num>
  <w:num w:numId="16">
    <w:abstractNumId w:val="2"/>
  </w:num>
  <w:num w:numId="17">
    <w:abstractNumId w:val="9"/>
  </w:num>
  <w:num w:numId="18">
    <w:abstractNumId w:val="3"/>
  </w:num>
  <w:num w:numId="19">
    <w:abstractNumId w:val="8"/>
  </w:num>
  <w:num w:numId="20">
    <w:abstractNumId w:val="1"/>
  </w:num>
  <w:num w:numId="21">
    <w:abstractNumId w:val="14"/>
  </w:num>
  <w:num w:numId="22">
    <w:abstractNumId w:val="15"/>
  </w:num>
  <w:num w:numId="23">
    <w:abstractNumId w:val="0"/>
  </w:num>
  <w:num w:numId="24">
    <w:abstractNumId w:val="23"/>
  </w:num>
  <w:num w:numId="25">
    <w:abstractNumId w:val="24"/>
  </w:num>
  <w:num w:numId="26">
    <w:abstractNumId w:val="26"/>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B09"/>
    <w:rsid w:val="000026A1"/>
    <w:rsid w:val="00004E7B"/>
    <w:rsid w:val="00024647"/>
    <w:rsid w:val="00026D52"/>
    <w:rsid w:val="000404F8"/>
    <w:rsid w:val="00046FFE"/>
    <w:rsid w:val="0005527C"/>
    <w:rsid w:val="000637D9"/>
    <w:rsid w:val="000654FA"/>
    <w:rsid w:val="00066A62"/>
    <w:rsid w:val="00074C12"/>
    <w:rsid w:val="000919B6"/>
    <w:rsid w:val="00091C89"/>
    <w:rsid w:val="00092C4C"/>
    <w:rsid w:val="00095522"/>
    <w:rsid w:val="00096D0C"/>
    <w:rsid w:val="000A15D8"/>
    <w:rsid w:val="000A2A79"/>
    <w:rsid w:val="000A4211"/>
    <w:rsid w:val="000A4C96"/>
    <w:rsid w:val="000B1EE4"/>
    <w:rsid w:val="000B22E8"/>
    <w:rsid w:val="000B295F"/>
    <w:rsid w:val="000B4B09"/>
    <w:rsid w:val="000B75BE"/>
    <w:rsid w:val="000C146D"/>
    <w:rsid w:val="000C4621"/>
    <w:rsid w:val="000C70ED"/>
    <w:rsid w:val="000D2B03"/>
    <w:rsid w:val="000D2F81"/>
    <w:rsid w:val="000D4F40"/>
    <w:rsid w:val="000D65FC"/>
    <w:rsid w:val="000E66E1"/>
    <w:rsid w:val="00103716"/>
    <w:rsid w:val="00115949"/>
    <w:rsid w:val="00123D21"/>
    <w:rsid w:val="00130847"/>
    <w:rsid w:val="001427C5"/>
    <w:rsid w:val="00143EAA"/>
    <w:rsid w:val="00144212"/>
    <w:rsid w:val="00147965"/>
    <w:rsid w:val="00151A43"/>
    <w:rsid w:val="00153C36"/>
    <w:rsid w:val="00157184"/>
    <w:rsid w:val="00157C1E"/>
    <w:rsid w:val="00160823"/>
    <w:rsid w:val="00164B53"/>
    <w:rsid w:val="00176436"/>
    <w:rsid w:val="001774D2"/>
    <w:rsid w:val="00180C07"/>
    <w:rsid w:val="001840E6"/>
    <w:rsid w:val="001A235C"/>
    <w:rsid w:val="001B1E9F"/>
    <w:rsid w:val="001C22EA"/>
    <w:rsid w:val="001C5D0E"/>
    <w:rsid w:val="001C604E"/>
    <w:rsid w:val="001D017A"/>
    <w:rsid w:val="001D50E5"/>
    <w:rsid w:val="001E02B4"/>
    <w:rsid w:val="001E45D9"/>
    <w:rsid w:val="001E5469"/>
    <w:rsid w:val="001F5903"/>
    <w:rsid w:val="00200028"/>
    <w:rsid w:val="0021115B"/>
    <w:rsid w:val="0021471B"/>
    <w:rsid w:val="0023133B"/>
    <w:rsid w:val="00234695"/>
    <w:rsid w:val="00246CC9"/>
    <w:rsid w:val="00251EFF"/>
    <w:rsid w:val="002830B7"/>
    <w:rsid w:val="002907DD"/>
    <w:rsid w:val="002B18AE"/>
    <w:rsid w:val="002B19A4"/>
    <w:rsid w:val="002B401C"/>
    <w:rsid w:val="002B57B0"/>
    <w:rsid w:val="002B7694"/>
    <w:rsid w:val="002C4054"/>
    <w:rsid w:val="002C6B63"/>
    <w:rsid w:val="002D2F55"/>
    <w:rsid w:val="002D5383"/>
    <w:rsid w:val="002D639B"/>
    <w:rsid w:val="002D6704"/>
    <w:rsid w:val="002D6833"/>
    <w:rsid w:val="002E025B"/>
    <w:rsid w:val="002F7A8B"/>
    <w:rsid w:val="00310015"/>
    <w:rsid w:val="00312D69"/>
    <w:rsid w:val="00314321"/>
    <w:rsid w:val="00314B3B"/>
    <w:rsid w:val="00320C9E"/>
    <w:rsid w:val="00324460"/>
    <w:rsid w:val="00336FAA"/>
    <w:rsid w:val="00340D59"/>
    <w:rsid w:val="00345434"/>
    <w:rsid w:val="00347746"/>
    <w:rsid w:val="003537CD"/>
    <w:rsid w:val="00356F4C"/>
    <w:rsid w:val="00357ECA"/>
    <w:rsid w:val="00374175"/>
    <w:rsid w:val="003776B3"/>
    <w:rsid w:val="00387DC9"/>
    <w:rsid w:val="00393190"/>
    <w:rsid w:val="00394D8D"/>
    <w:rsid w:val="003A36F7"/>
    <w:rsid w:val="003B32FB"/>
    <w:rsid w:val="003B6F49"/>
    <w:rsid w:val="003B7C21"/>
    <w:rsid w:val="003C02DC"/>
    <w:rsid w:val="003C2C0B"/>
    <w:rsid w:val="003C6667"/>
    <w:rsid w:val="003D417C"/>
    <w:rsid w:val="003D737A"/>
    <w:rsid w:val="003E3B62"/>
    <w:rsid w:val="003E551F"/>
    <w:rsid w:val="003E7EC9"/>
    <w:rsid w:val="003F17C4"/>
    <w:rsid w:val="003F7935"/>
    <w:rsid w:val="003F7D2A"/>
    <w:rsid w:val="004076FE"/>
    <w:rsid w:val="00413781"/>
    <w:rsid w:val="004179BF"/>
    <w:rsid w:val="00424F2E"/>
    <w:rsid w:val="0042505C"/>
    <w:rsid w:val="00441C57"/>
    <w:rsid w:val="004576EF"/>
    <w:rsid w:val="00461CD8"/>
    <w:rsid w:val="004649D1"/>
    <w:rsid w:val="00470195"/>
    <w:rsid w:val="00473702"/>
    <w:rsid w:val="00480436"/>
    <w:rsid w:val="00484367"/>
    <w:rsid w:val="00490563"/>
    <w:rsid w:val="004A1D02"/>
    <w:rsid w:val="004B64B6"/>
    <w:rsid w:val="004C5057"/>
    <w:rsid w:val="004C61E4"/>
    <w:rsid w:val="004E4FD8"/>
    <w:rsid w:val="004F1230"/>
    <w:rsid w:val="004F1D50"/>
    <w:rsid w:val="004F657A"/>
    <w:rsid w:val="0052252F"/>
    <w:rsid w:val="005306BE"/>
    <w:rsid w:val="00531AB2"/>
    <w:rsid w:val="00537AE2"/>
    <w:rsid w:val="00540022"/>
    <w:rsid w:val="005451BC"/>
    <w:rsid w:val="005456BC"/>
    <w:rsid w:val="005466A2"/>
    <w:rsid w:val="0056217B"/>
    <w:rsid w:val="00562766"/>
    <w:rsid w:val="00565214"/>
    <w:rsid w:val="00566260"/>
    <w:rsid w:val="005708BC"/>
    <w:rsid w:val="0057677C"/>
    <w:rsid w:val="0057696F"/>
    <w:rsid w:val="00582F39"/>
    <w:rsid w:val="00584A12"/>
    <w:rsid w:val="00592F10"/>
    <w:rsid w:val="00592FDC"/>
    <w:rsid w:val="00595E94"/>
    <w:rsid w:val="005A1189"/>
    <w:rsid w:val="005A461E"/>
    <w:rsid w:val="005A5777"/>
    <w:rsid w:val="005A71D6"/>
    <w:rsid w:val="005C6471"/>
    <w:rsid w:val="005E40D5"/>
    <w:rsid w:val="005E5191"/>
    <w:rsid w:val="005F4709"/>
    <w:rsid w:val="005F4C5B"/>
    <w:rsid w:val="005F5C4C"/>
    <w:rsid w:val="00603030"/>
    <w:rsid w:val="00604887"/>
    <w:rsid w:val="00610B1E"/>
    <w:rsid w:val="00612069"/>
    <w:rsid w:val="006139BE"/>
    <w:rsid w:val="00620118"/>
    <w:rsid w:val="00634904"/>
    <w:rsid w:val="00636FF6"/>
    <w:rsid w:val="00637AE2"/>
    <w:rsid w:val="00642E4B"/>
    <w:rsid w:val="00645EEB"/>
    <w:rsid w:val="00654890"/>
    <w:rsid w:val="00663620"/>
    <w:rsid w:val="006755D2"/>
    <w:rsid w:val="0067658A"/>
    <w:rsid w:val="00692050"/>
    <w:rsid w:val="006938E8"/>
    <w:rsid w:val="006A1206"/>
    <w:rsid w:val="006A13F2"/>
    <w:rsid w:val="006A659A"/>
    <w:rsid w:val="006A6C0D"/>
    <w:rsid w:val="006B6D2B"/>
    <w:rsid w:val="006C0E1C"/>
    <w:rsid w:val="006D282B"/>
    <w:rsid w:val="006E5CF7"/>
    <w:rsid w:val="006F20A9"/>
    <w:rsid w:val="0070369B"/>
    <w:rsid w:val="00704084"/>
    <w:rsid w:val="00705ACA"/>
    <w:rsid w:val="00706F60"/>
    <w:rsid w:val="007108EA"/>
    <w:rsid w:val="0071125C"/>
    <w:rsid w:val="0071332F"/>
    <w:rsid w:val="00716583"/>
    <w:rsid w:val="00723C00"/>
    <w:rsid w:val="0072452B"/>
    <w:rsid w:val="00736F9F"/>
    <w:rsid w:val="007415EA"/>
    <w:rsid w:val="00742E97"/>
    <w:rsid w:val="00756C72"/>
    <w:rsid w:val="00763F34"/>
    <w:rsid w:val="00765B08"/>
    <w:rsid w:val="00770769"/>
    <w:rsid w:val="00771DD5"/>
    <w:rsid w:val="007806B4"/>
    <w:rsid w:val="00780ECD"/>
    <w:rsid w:val="007810F7"/>
    <w:rsid w:val="0078434B"/>
    <w:rsid w:val="00785BE2"/>
    <w:rsid w:val="00796C23"/>
    <w:rsid w:val="007A1B8F"/>
    <w:rsid w:val="007A3C4E"/>
    <w:rsid w:val="007A66DF"/>
    <w:rsid w:val="007A7206"/>
    <w:rsid w:val="007C24AF"/>
    <w:rsid w:val="007C3FB7"/>
    <w:rsid w:val="007D3164"/>
    <w:rsid w:val="007D47EA"/>
    <w:rsid w:val="007E34F8"/>
    <w:rsid w:val="007F108A"/>
    <w:rsid w:val="007F3A6F"/>
    <w:rsid w:val="007F48AF"/>
    <w:rsid w:val="00803EE4"/>
    <w:rsid w:val="00813199"/>
    <w:rsid w:val="00821564"/>
    <w:rsid w:val="008217CA"/>
    <w:rsid w:val="00827B55"/>
    <w:rsid w:val="00832FF8"/>
    <w:rsid w:val="00834DCE"/>
    <w:rsid w:val="0084312C"/>
    <w:rsid w:val="00853421"/>
    <w:rsid w:val="00854BA4"/>
    <w:rsid w:val="00856DB0"/>
    <w:rsid w:val="00873DB9"/>
    <w:rsid w:val="008746DB"/>
    <w:rsid w:val="008829E6"/>
    <w:rsid w:val="008846EB"/>
    <w:rsid w:val="008968CD"/>
    <w:rsid w:val="008A2417"/>
    <w:rsid w:val="008A6818"/>
    <w:rsid w:val="008C2800"/>
    <w:rsid w:val="008C53C1"/>
    <w:rsid w:val="008C53DB"/>
    <w:rsid w:val="008D028D"/>
    <w:rsid w:val="008D4298"/>
    <w:rsid w:val="008E4835"/>
    <w:rsid w:val="008E497A"/>
    <w:rsid w:val="008F505F"/>
    <w:rsid w:val="008F57DD"/>
    <w:rsid w:val="009059B6"/>
    <w:rsid w:val="00910B67"/>
    <w:rsid w:val="009260A9"/>
    <w:rsid w:val="00930D2A"/>
    <w:rsid w:val="00930FD5"/>
    <w:rsid w:val="009465BB"/>
    <w:rsid w:val="0095439F"/>
    <w:rsid w:val="00954FC8"/>
    <w:rsid w:val="00962190"/>
    <w:rsid w:val="009728C4"/>
    <w:rsid w:val="009926CA"/>
    <w:rsid w:val="009972F7"/>
    <w:rsid w:val="009974E5"/>
    <w:rsid w:val="009A409C"/>
    <w:rsid w:val="009B0328"/>
    <w:rsid w:val="009B09C3"/>
    <w:rsid w:val="009B1410"/>
    <w:rsid w:val="009B28CD"/>
    <w:rsid w:val="009B7459"/>
    <w:rsid w:val="009C252D"/>
    <w:rsid w:val="009C7BD0"/>
    <w:rsid w:val="009D2AA6"/>
    <w:rsid w:val="009D5207"/>
    <w:rsid w:val="009F71E1"/>
    <w:rsid w:val="009F7B09"/>
    <w:rsid w:val="00A04E90"/>
    <w:rsid w:val="00A1385E"/>
    <w:rsid w:val="00A14C00"/>
    <w:rsid w:val="00A22629"/>
    <w:rsid w:val="00A262A1"/>
    <w:rsid w:val="00A33506"/>
    <w:rsid w:val="00A36ED1"/>
    <w:rsid w:val="00A41888"/>
    <w:rsid w:val="00A440ED"/>
    <w:rsid w:val="00A53589"/>
    <w:rsid w:val="00A6089A"/>
    <w:rsid w:val="00A84153"/>
    <w:rsid w:val="00A874C8"/>
    <w:rsid w:val="00A9596B"/>
    <w:rsid w:val="00A97E8A"/>
    <w:rsid w:val="00AA071D"/>
    <w:rsid w:val="00AA2C57"/>
    <w:rsid w:val="00AA2F4D"/>
    <w:rsid w:val="00AA35FB"/>
    <w:rsid w:val="00AA6C94"/>
    <w:rsid w:val="00AC0055"/>
    <w:rsid w:val="00AC44FC"/>
    <w:rsid w:val="00AD387F"/>
    <w:rsid w:val="00AE6A6F"/>
    <w:rsid w:val="00AF0B93"/>
    <w:rsid w:val="00AF1BC1"/>
    <w:rsid w:val="00AF35FB"/>
    <w:rsid w:val="00AF6B77"/>
    <w:rsid w:val="00B04475"/>
    <w:rsid w:val="00B05F10"/>
    <w:rsid w:val="00B12DC7"/>
    <w:rsid w:val="00B2352B"/>
    <w:rsid w:val="00B31588"/>
    <w:rsid w:val="00B438C9"/>
    <w:rsid w:val="00B439E9"/>
    <w:rsid w:val="00B442EA"/>
    <w:rsid w:val="00B478DF"/>
    <w:rsid w:val="00B546F7"/>
    <w:rsid w:val="00B547EA"/>
    <w:rsid w:val="00B6778C"/>
    <w:rsid w:val="00B70372"/>
    <w:rsid w:val="00B72F80"/>
    <w:rsid w:val="00B77E16"/>
    <w:rsid w:val="00B8497B"/>
    <w:rsid w:val="00B956AE"/>
    <w:rsid w:val="00BA4EEF"/>
    <w:rsid w:val="00BC5138"/>
    <w:rsid w:val="00BC5AA2"/>
    <w:rsid w:val="00BC6376"/>
    <w:rsid w:val="00BC7E74"/>
    <w:rsid w:val="00BD1F7E"/>
    <w:rsid w:val="00BD237D"/>
    <w:rsid w:val="00BD602F"/>
    <w:rsid w:val="00BE7A8C"/>
    <w:rsid w:val="00BF44CF"/>
    <w:rsid w:val="00BF56D1"/>
    <w:rsid w:val="00BF6961"/>
    <w:rsid w:val="00C04B70"/>
    <w:rsid w:val="00C05325"/>
    <w:rsid w:val="00C05D50"/>
    <w:rsid w:val="00C071B3"/>
    <w:rsid w:val="00C36827"/>
    <w:rsid w:val="00C433FC"/>
    <w:rsid w:val="00C544BC"/>
    <w:rsid w:val="00C630DD"/>
    <w:rsid w:val="00C80712"/>
    <w:rsid w:val="00C80726"/>
    <w:rsid w:val="00C85BE7"/>
    <w:rsid w:val="00C92652"/>
    <w:rsid w:val="00CA6001"/>
    <w:rsid w:val="00CA6FA5"/>
    <w:rsid w:val="00CB0C71"/>
    <w:rsid w:val="00CC259C"/>
    <w:rsid w:val="00CD37E6"/>
    <w:rsid w:val="00CD643A"/>
    <w:rsid w:val="00CF700E"/>
    <w:rsid w:val="00D06EFB"/>
    <w:rsid w:val="00D10AFA"/>
    <w:rsid w:val="00D22F13"/>
    <w:rsid w:val="00D2431A"/>
    <w:rsid w:val="00D3568B"/>
    <w:rsid w:val="00D4036F"/>
    <w:rsid w:val="00D44E73"/>
    <w:rsid w:val="00D51886"/>
    <w:rsid w:val="00D54393"/>
    <w:rsid w:val="00D57325"/>
    <w:rsid w:val="00D57B3D"/>
    <w:rsid w:val="00D706D8"/>
    <w:rsid w:val="00D72813"/>
    <w:rsid w:val="00D904FE"/>
    <w:rsid w:val="00D933CB"/>
    <w:rsid w:val="00DA7A39"/>
    <w:rsid w:val="00DB0737"/>
    <w:rsid w:val="00DB351F"/>
    <w:rsid w:val="00DB5C82"/>
    <w:rsid w:val="00DC6065"/>
    <w:rsid w:val="00DD0C33"/>
    <w:rsid w:val="00DE1F36"/>
    <w:rsid w:val="00DE5088"/>
    <w:rsid w:val="00DF023D"/>
    <w:rsid w:val="00E0125B"/>
    <w:rsid w:val="00E01A33"/>
    <w:rsid w:val="00E1137F"/>
    <w:rsid w:val="00E123F5"/>
    <w:rsid w:val="00E26019"/>
    <w:rsid w:val="00E34930"/>
    <w:rsid w:val="00E35B4B"/>
    <w:rsid w:val="00E373BF"/>
    <w:rsid w:val="00E42CE3"/>
    <w:rsid w:val="00E46657"/>
    <w:rsid w:val="00E46ACD"/>
    <w:rsid w:val="00E47DA3"/>
    <w:rsid w:val="00E54AA6"/>
    <w:rsid w:val="00E563BF"/>
    <w:rsid w:val="00E56F1D"/>
    <w:rsid w:val="00E60DCB"/>
    <w:rsid w:val="00E90C50"/>
    <w:rsid w:val="00E94BFE"/>
    <w:rsid w:val="00E966DF"/>
    <w:rsid w:val="00EA0F99"/>
    <w:rsid w:val="00EA1C86"/>
    <w:rsid w:val="00EA55F6"/>
    <w:rsid w:val="00EB0209"/>
    <w:rsid w:val="00EC5DCC"/>
    <w:rsid w:val="00EC670C"/>
    <w:rsid w:val="00ED0D41"/>
    <w:rsid w:val="00ED436A"/>
    <w:rsid w:val="00EE2B40"/>
    <w:rsid w:val="00EE4C5D"/>
    <w:rsid w:val="00EE631E"/>
    <w:rsid w:val="00F02687"/>
    <w:rsid w:val="00F10CC2"/>
    <w:rsid w:val="00F147EC"/>
    <w:rsid w:val="00F267E9"/>
    <w:rsid w:val="00F27313"/>
    <w:rsid w:val="00F30E50"/>
    <w:rsid w:val="00F314BF"/>
    <w:rsid w:val="00F42959"/>
    <w:rsid w:val="00F4455B"/>
    <w:rsid w:val="00F455BB"/>
    <w:rsid w:val="00F4781C"/>
    <w:rsid w:val="00F565D6"/>
    <w:rsid w:val="00F657EE"/>
    <w:rsid w:val="00F66637"/>
    <w:rsid w:val="00F955D4"/>
    <w:rsid w:val="00F97E1D"/>
    <w:rsid w:val="00FA34D8"/>
    <w:rsid w:val="00FA78B9"/>
    <w:rsid w:val="00FB3284"/>
    <w:rsid w:val="00FB405D"/>
    <w:rsid w:val="00FB77B8"/>
    <w:rsid w:val="00FC10B0"/>
    <w:rsid w:val="00FC2DBE"/>
    <w:rsid w:val="00FE6187"/>
    <w:rsid w:val="00FF443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1D99BD"/>
  <w15:docId w15:val="{5090EA41-FB6D-4ECB-BEE2-450512059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5CF7"/>
    <w:pPr>
      <w:spacing w:after="0" w:line="240" w:lineRule="auto"/>
    </w:pPr>
    <w:rPr>
      <w:rFonts w:ascii="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5CF7"/>
    <w:rPr>
      <w:sz w:val="20"/>
      <w:szCs w:val="20"/>
    </w:rPr>
  </w:style>
  <w:style w:type="character" w:customStyle="1" w:styleId="FootnoteTextChar">
    <w:name w:val="Footnote Text Char"/>
    <w:basedOn w:val="DefaultParagraphFont"/>
    <w:link w:val="FootnoteText"/>
    <w:uiPriority w:val="99"/>
    <w:semiHidden/>
    <w:rsid w:val="006E5CF7"/>
    <w:rPr>
      <w:rFonts w:ascii="Times New Roman" w:hAnsi="Times New Roman" w:cs="Times New Roman"/>
      <w:sz w:val="20"/>
      <w:szCs w:val="20"/>
      <w:lang w:val="en-AU" w:eastAsia="en-AU"/>
    </w:rPr>
  </w:style>
  <w:style w:type="character" w:styleId="FootnoteReference">
    <w:name w:val="footnote reference"/>
    <w:basedOn w:val="DefaultParagraphFont"/>
    <w:uiPriority w:val="99"/>
    <w:unhideWhenUsed/>
    <w:rsid w:val="006E5CF7"/>
    <w:rPr>
      <w:vertAlign w:val="superscript"/>
    </w:rPr>
  </w:style>
  <w:style w:type="character" w:styleId="Hyperlink">
    <w:name w:val="Hyperlink"/>
    <w:basedOn w:val="DefaultParagraphFont"/>
    <w:uiPriority w:val="99"/>
    <w:unhideWhenUsed/>
    <w:rsid w:val="007C3FB7"/>
    <w:rPr>
      <w:color w:val="0563C1" w:themeColor="hyperlink"/>
      <w:u w:val="single"/>
    </w:rPr>
  </w:style>
  <w:style w:type="paragraph" w:styleId="BalloonText">
    <w:name w:val="Balloon Text"/>
    <w:basedOn w:val="Normal"/>
    <w:link w:val="BalloonTextChar"/>
    <w:uiPriority w:val="99"/>
    <w:semiHidden/>
    <w:unhideWhenUsed/>
    <w:rsid w:val="00592FDC"/>
    <w:rPr>
      <w:rFonts w:ascii="Tahoma" w:hAnsi="Tahoma" w:cs="Tahoma"/>
      <w:sz w:val="16"/>
      <w:szCs w:val="16"/>
    </w:rPr>
  </w:style>
  <w:style w:type="character" w:customStyle="1" w:styleId="BalloonTextChar">
    <w:name w:val="Balloon Text Char"/>
    <w:basedOn w:val="DefaultParagraphFont"/>
    <w:link w:val="BalloonText"/>
    <w:uiPriority w:val="99"/>
    <w:semiHidden/>
    <w:rsid w:val="00592FDC"/>
    <w:rPr>
      <w:rFonts w:ascii="Tahoma" w:hAnsi="Tahoma" w:cs="Tahoma"/>
      <w:sz w:val="16"/>
      <w:szCs w:val="16"/>
      <w:lang w:val="en-AU" w:eastAsia="en-AU"/>
    </w:rPr>
  </w:style>
  <w:style w:type="paragraph" w:styleId="ListParagraph">
    <w:name w:val="List Paragraph"/>
    <w:basedOn w:val="Normal"/>
    <w:uiPriority w:val="34"/>
    <w:qFormat/>
    <w:rsid w:val="00E90C50"/>
    <w:pPr>
      <w:ind w:left="720"/>
      <w:contextualSpacing/>
    </w:pPr>
  </w:style>
  <w:style w:type="paragraph" w:styleId="Header">
    <w:name w:val="header"/>
    <w:basedOn w:val="Normal"/>
    <w:link w:val="HeaderChar"/>
    <w:uiPriority w:val="99"/>
    <w:unhideWhenUsed/>
    <w:rsid w:val="00B956AE"/>
    <w:pPr>
      <w:tabs>
        <w:tab w:val="center" w:pos="4513"/>
        <w:tab w:val="right" w:pos="9026"/>
      </w:tabs>
    </w:pPr>
  </w:style>
  <w:style w:type="character" w:customStyle="1" w:styleId="HeaderChar">
    <w:name w:val="Header Char"/>
    <w:basedOn w:val="DefaultParagraphFont"/>
    <w:link w:val="Header"/>
    <w:uiPriority w:val="99"/>
    <w:rsid w:val="00B956AE"/>
    <w:rPr>
      <w:rFonts w:ascii="Times New Roman" w:hAnsi="Times New Roman" w:cs="Times New Roman"/>
      <w:sz w:val="24"/>
      <w:szCs w:val="24"/>
      <w:lang w:val="en-AU" w:eastAsia="en-AU"/>
    </w:rPr>
  </w:style>
  <w:style w:type="paragraph" w:styleId="Footer">
    <w:name w:val="footer"/>
    <w:basedOn w:val="Normal"/>
    <w:link w:val="FooterChar"/>
    <w:uiPriority w:val="99"/>
    <w:unhideWhenUsed/>
    <w:rsid w:val="00B956AE"/>
    <w:pPr>
      <w:tabs>
        <w:tab w:val="center" w:pos="4513"/>
        <w:tab w:val="right" w:pos="9026"/>
      </w:tabs>
    </w:pPr>
  </w:style>
  <w:style w:type="character" w:customStyle="1" w:styleId="FooterChar">
    <w:name w:val="Footer Char"/>
    <w:basedOn w:val="DefaultParagraphFont"/>
    <w:link w:val="Footer"/>
    <w:uiPriority w:val="99"/>
    <w:rsid w:val="00B956AE"/>
    <w:rPr>
      <w:rFonts w:ascii="Times New Roman" w:hAnsi="Times New Roman" w:cs="Times New Roman"/>
      <w:sz w:val="24"/>
      <w:szCs w:val="24"/>
      <w:lang w:val="en-AU" w:eastAsia="en-AU"/>
    </w:rPr>
  </w:style>
  <w:style w:type="character" w:styleId="Emphasis">
    <w:name w:val="Emphasis"/>
    <w:basedOn w:val="DefaultParagraphFont"/>
    <w:uiPriority w:val="20"/>
    <w:qFormat/>
    <w:rsid w:val="005E40D5"/>
    <w:rPr>
      <w:i/>
      <w:iCs/>
    </w:rPr>
  </w:style>
  <w:style w:type="table" w:styleId="TableGrid">
    <w:name w:val="Table Grid"/>
    <w:basedOn w:val="TableNormal"/>
    <w:uiPriority w:val="39"/>
    <w:rsid w:val="00796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8340">
      <w:bodyDiv w:val="1"/>
      <w:marLeft w:val="0"/>
      <w:marRight w:val="0"/>
      <w:marTop w:val="0"/>
      <w:marBottom w:val="0"/>
      <w:divBdr>
        <w:top w:val="none" w:sz="0" w:space="0" w:color="auto"/>
        <w:left w:val="none" w:sz="0" w:space="0" w:color="auto"/>
        <w:bottom w:val="none" w:sz="0" w:space="0" w:color="auto"/>
        <w:right w:val="none" w:sz="0" w:space="0" w:color="auto"/>
      </w:divBdr>
    </w:div>
    <w:div w:id="5290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81A56-A161-4440-B4A1-12D44500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4808</Words>
  <Characters>27409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HDT</dc:creator>
  <cp:lastModifiedBy>Sonja</cp:lastModifiedBy>
  <cp:revision>2</cp:revision>
  <cp:lastPrinted>2015-09-09T03:06:00Z</cp:lastPrinted>
  <dcterms:created xsi:type="dcterms:W3CDTF">2016-05-04T06:13:00Z</dcterms:created>
  <dcterms:modified xsi:type="dcterms:W3CDTF">2016-05-04T06:13:00Z</dcterms:modified>
</cp:coreProperties>
</file>