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743BB" w14:textId="77777777" w:rsidR="00786BCF" w:rsidRDefault="00786BCF" w:rsidP="00821E62">
      <w:pPr>
        <w:spacing w:line="360" w:lineRule="auto"/>
        <w:jc w:val="both"/>
        <w:rPr>
          <w:lang w:val="en-GB"/>
        </w:rPr>
      </w:pPr>
      <w:r w:rsidRPr="000A0B9D">
        <w:rPr>
          <w:lang w:val="en-GB"/>
        </w:rPr>
        <w:t xml:space="preserve"> </w:t>
      </w:r>
    </w:p>
    <w:p w14:paraId="628E4AC7" w14:textId="77777777" w:rsidR="00786BCF" w:rsidRPr="00DF3229" w:rsidRDefault="00786BCF" w:rsidP="0030451D">
      <w:pPr>
        <w:spacing w:line="360" w:lineRule="auto"/>
        <w:jc w:val="both"/>
        <w:rPr>
          <w:rStyle w:val="IntenseReference"/>
          <w:lang w:val="en-US"/>
        </w:rPr>
      </w:pPr>
      <w:r w:rsidRPr="00DF3229">
        <w:rPr>
          <w:rStyle w:val="IntenseReference"/>
          <w:lang w:val="en-US"/>
        </w:rPr>
        <w:t xml:space="preserve">A Troubled Relationship:  The </w:t>
      </w:r>
      <w:proofErr w:type="spellStart"/>
      <w:r w:rsidRPr="00DF3229">
        <w:rPr>
          <w:rStyle w:val="IntenseReference"/>
          <w:lang w:val="en-US"/>
        </w:rPr>
        <w:t>ICTY</w:t>
      </w:r>
      <w:proofErr w:type="spellEnd"/>
      <w:r w:rsidRPr="00DF3229">
        <w:rPr>
          <w:rStyle w:val="IntenseReference"/>
          <w:lang w:val="en-US"/>
        </w:rPr>
        <w:t xml:space="preserve"> and Post-Conflict Reconciliation </w:t>
      </w:r>
    </w:p>
    <w:p w14:paraId="07D79913" w14:textId="77777777" w:rsidR="00786BCF" w:rsidRPr="00DF3229" w:rsidRDefault="00786BCF" w:rsidP="001F3A37">
      <w:pPr>
        <w:spacing w:line="360" w:lineRule="auto"/>
        <w:jc w:val="both"/>
        <w:rPr>
          <w:lang w:val="en-US"/>
        </w:rPr>
      </w:pPr>
    </w:p>
    <w:p w14:paraId="75182D24" w14:textId="77777777" w:rsidR="00786BCF" w:rsidRPr="00DF3229" w:rsidRDefault="00786BCF" w:rsidP="0030451D">
      <w:pPr>
        <w:tabs>
          <w:tab w:val="left" w:pos="6946"/>
        </w:tabs>
        <w:spacing w:line="360" w:lineRule="auto"/>
        <w:jc w:val="both"/>
        <w:rPr>
          <w:lang w:val="en-US"/>
        </w:rPr>
      </w:pPr>
      <w:r w:rsidRPr="00DF3229">
        <w:rPr>
          <w:lang w:val="en-US"/>
        </w:rPr>
        <w:t xml:space="preserve">It will be argued in this article that the relationship between </w:t>
      </w:r>
      <w:r>
        <w:rPr>
          <w:lang w:val="en-US"/>
        </w:rPr>
        <w:t>R</w:t>
      </w:r>
      <w:r w:rsidRPr="00DF3229">
        <w:rPr>
          <w:lang w:val="en-US"/>
        </w:rPr>
        <w:t xml:space="preserve">etributive </w:t>
      </w:r>
      <w:r>
        <w:rPr>
          <w:lang w:val="en-US"/>
        </w:rPr>
        <w:t>J</w:t>
      </w:r>
      <w:r w:rsidRPr="00DF3229">
        <w:rPr>
          <w:lang w:val="en-US"/>
        </w:rPr>
        <w:t xml:space="preserve">ustice as </w:t>
      </w:r>
      <w:r>
        <w:rPr>
          <w:lang w:val="en-US"/>
        </w:rPr>
        <w:t>delivered</w:t>
      </w:r>
      <w:r w:rsidRPr="00DF3229">
        <w:rPr>
          <w:lang w:val="en-US"/>
        </w:rPr>
        <w:t xml:space="preserve"> by the </w:t>
      </w:r>
      <w:proofErr w:type="spellStart"/>
      <w:r w:rsidRPr="00DF3229">
        <w:rPr>
          <w:lang w:val="en-US"/>
        </w:rPr>
        <w:t>ICTY</w:t>
      </w:r>
      <w:proofErr w:type="spellEnd"/>
      <w:r w:rsidRPr="00DF3229">
        <w:rPr>
          <w:lang w:val="en-US"/>
        </w:rPr>
        <w:t xml:space="preserve"> and its impact on reconciliation processes </w:t>
      </w:r>
      <w:r>
        <w:rPr>
          <w:lang w:val="en-US"/>
        </w:rPr>
        <w:t>has</w:t>
      </w:r>
      <w:r w:rsidRPr="00DF3229">
        <w:rPr>
          <w:lang w:val="en-US"/>
        </w:rPr>
        <w:t xml:space="preserve"> yet to be properly researched according to a novel </w:t>
      </w:r>
      <w:r w:rsidRPr="00366D7D">
        <w:rPr>
          <w:lang w:val="en-US"/>
        </w:rPr>
        <w:t>methodology</w:t>
      </w:r>
      <w:r w:rsidRPr="00DF3229">
        <w:rPr>
          <w:lang w:val="en-US"/>
        </w:rPr>
        <w:t xml:space="preserve"> that would allow for compar</w:t>
      </w:r>
      <w:r>
        <w:rPr>
          <w:lang w:val="en-US"/>
        </w:rPr>
        <w:t>ison of</w:t>
      </w:r>
      <w:r w:rsidRPr="00DF3229">
        <w:rPr>
          <w:lang w:val="en-US"/>
        </w:rPr>
        <w:t xml:space="preserve"> different courts and different post-conflict states and societies. </w:t>
      </w:r>
    </w:p>
    <w:p w14:paraId="3B88A39B" w14:textId="77777777" w:rsidR="00786BCF" w:rsidRPr="00DF3229" w:rsidRDefault="00786BCF" w:rsidP="0030451D">
      <w:pPr>
        <w:tabs>
          <w:tab w:val="left" w:pos="2224"/>
        </w:tabs>
        <w:spacing w:line="360" w:lineRule="auto"/>
        <w:jc w:val="both"/>
        <w:rPr>
          <w:lang w:val="en-US"/>
        </w:rPr>
      </w:pPr>
      <w:r>
        <w:rPr>
          <w:lang w:val="en-US"/>
        </w:rPr>
        <w:tab/>
      </w:r>
    </w:p>
    <w:p w14:paraId="03F94FF2" w14:textId="1F4FCE70" w:rsidR="00786BCF" w:rsidRPr="00353D97" w:rsidRDefault="00786BCF" w:rsidP="0030451D">
      <w:pPr>
        <w:spacing w:line="360" w:lineRule="auto"/>
        <w:jc w:val="both"/>
        <w:rPr>
          <w:lang w:val="en-GB"/>
        </w:rPr>
      </w:pPr>
      <w:r>
        <w:rPr>
          <w:lang w:val="en-GB"/>
        </w:rPr>
        <w:t xml:space="preserve">First, the Mandate of the </w:t>
      </w:r>
      <w:proofErr w:type="spellStart"/>
      <w:r>
        <w:rPr>
          <w:lang w:val="en-GB"/>
        </w:rPr>
        <w:t>ICTY</w:t>
      </w:r>
      <w:proofErr w:type="spellEnd"/>
      <w:r>
        <w:rPr>
          <w:lang w:val="en-GB"/>
        </w:rPr>
        <w:t xml:space="preserve"> will be examined.  </w:t>
      </w:r>
      <w:r w:rsidRPr="00DF3229">
        <w:rPr>
          <w:lang w:val="en-US"/>
        </w:rPr>
        <w:t xml:space="preserve">Although the </w:t>
      </w:r>
      <w:proofErr w:type="spellStart"/>
      <w:r>
        <w:rPr>
          <w:lang w:val="en-US"/>
        </w:rPr>
        <w:t>UN’s</w:t>
      </w:r>
      <w:proofErr w:type="spellEnd"/>
      <w:r>
        <w:rPr>
          <w:lang w:val="en-US"/>
        </w:rPr>
        <w:t xml:space="preserve"> </w:t>
      </w:r>
      <w:r w:rsidRPr="00DF3229">
        <w:rPr>
          <w:lang w:val="en-US"/>
        </w:rPr>
        <w:t xml:space="preserve">founding documents of the </w:t>
      </w:r>
      <w:proofErr w:type="spellStart"/>
      <w:r w:rsidRPr="00DF3229">
        <w:rPr>
          <w:lang w:val="en-US"/>
        </w:rPr>
        <w:t>ICTY</w:t>
      </w:r>
      <w:proofErr w:type="spellEnd"/>
      <w:r w:rsidRPr="00DF3229">
        <w:rPr>
          <w:lang w:val="en-US"/>
        </w:rPr>
        <w:t xml:space="preserve"> </w:t>
      </w:r>
      <w:r>
        <w:rPr>
          <w:lang w:val="en-US"/>
        </w:rPr>
        <w:t xml:space="preserve">mention justice for victims, punishment of perpetrators and restoration and maintenance of peace as the mandates of the </w:t>
      </w:r>
      <w:proofErr w:type="spellStart"/>
      <w:r>
        <w:rPr>
          <w:lang w:val="en-US"/>
        </w:rPr>
        <w:t>ICTY</w:t>
      </w:r>
      <w:proofErr w:type="spellEnd"/>
      <w:r>
        <w:rPr>
          <w:rStyle w:val="FootnoteReference"/>
          <w:lang w:val="en-US"/>
        </w:rPr>
        <w:footnoteReference w:id="1"/>
      </w:r>
      <w:r>
        <w:rPr>
          <w:lang w:val="en-US"/>
        </w:rPr>
        <w:t xml:space="preserve">, in a discussion surrounding its constitution the deterrence of crimes globally as well as of mass atrocities in the Balkans was considered; establishment of the truth about the conflict and </w:t>
      </w:r>
      <w:r w:rsidRPr="00DF3229">
        <w:rPr>
          <w:lang w:val="en-US"/>
        </w:rPr>
        <w:t xml:space="preserve">reconciliation </w:t>
      </w:r>
      <w:r>
        <w:rPr>
          <w:lang w:val="en-US"/>
        </w:rPr>
        <w:t>were mentioned in terms of a broader mandate.</w:t>
      </w:r>
    </w:p>
    <w:p w14:paraId="0E7CBA34" w14:textId="77777777" w:rsidR="00786BCF" w:rsidRDefault="00786BCF" w:rsidP="0030451D">
      <w:pPr>
        <w:spacing w:line="360" w:lineRule="auto"/>
        <w:jc w:val="both"/>
        <w:rPr>
          <w:lang w:val="en-US"/>
        </w:rPr>
      </w:pPr>
    </w:p>
    <w:p w14:paraId="620014B6" w14:textId="24969BFA" w:rsidR="00786BCF" w:rsidRDefault="00786BCF" w:rsidP="0030451D">
      <w:pPr>
        <w:spacing w:line="360" w:lineRule="auto"/>
        <w:jc w:val="both"/>
        <w:rPr>
          <w:lang w:val="en-GB"/>
        </w:rPr>
      </w:pPr>
      <w:r>
        <w:rPr>
          <w:lang w:val="en-US"/>
        </w:rPr>
        <w:t>Second</w:t>
      </w:r>
      <w:r w:rsidRPr="00DF3229">
        <w:rPr>
          <w:lang w:val="en-US"/>
        </w:rPr>
        <w:t xml:space="preserve">, the term </w:t>
      </w:r>
      <w:r w:rsidR="006334B7">
        <w:rPr>
          <w:lang w:val="en-US"/>
        </w:rPr>
        <w:t>R</w:t>
      </w:r>
      <w:r w:rsidRPr="00DF3229">
        <w:rPr>
          <w:lang w:val="en-US"/>
        </w:rPr>
        <w:t xml:space="preserve">econciliation </w:t>
      </w:r>
      <w:r>
        <w:rPr>
          <w:lang w:val="en-US"/>
        </w:rPr>
        <w:t>requires</w:t>
      </w:r>
      <w:r w:rsidRPr="00DF3229">
        <w:rPr>
          <w:lang w:val="en-US"/>
        </w:rPr>
        <w:t xml:space="preserve"> examin</w:t>
      </w:r>
      <w:r>
        <w:rPr>
          <w:lang w:val="en-US"/>
        </w:rPr>
        <w:t>ation</w:t>
      </w:r>
      <w:r w:rsidRPr="00DF3229">
        <w:rPr>
          <w:lang w:val="en-US"/>
        </w:rPr>
        <w:t xml:space="preserve">.  </w:t>
      </w:r>
      <w:r>
        <w:rPr>
          <w:lang w:val="en-GB"/>
        </w:rPr>
        <w:t>The term is the subject of several very different definitions.  Every definition is somewhat open ended and imprecise - just as there are no two exactly identical models or d</w:t>
      </w:r>
      <w:r w:rsidR="006334B7">
        <w:rPr>
          <w:lang w:val="en-GB"/>
        </w:rPr>
        <w:t>efinitions of ‘federation’ or ‘Transitional Justice’ or ‘i</w:t>
      </w:r>
      <w:r>
        <w:rPr>
          <w:lang w:val="en-GB"/>
        </w:rPr>
        <w:t xml:space="preserve">deology’.  All such terms, when adopted in research of a specific issue or a </w:t>
      </w:r>
      <w:r w:rsidRPr="001F3A37">
        <w:rPr>
          <w:i/>
          <w:lang w:val="en-GB"/>
        </w:rPr>
        <w:t>casus</w:t>
      </w:r>
      <w:r>
        <w:rPr>
          <w:i/>
          <w:lang w:val="en-GB"/>
        </w:rPr>
        <w:t>,</w:t>
      </w:r>
      <w:r>
        <w:rPr>
          <w:lang w:val="en-GB"/>
        </w:rPr>
        <w:t xml:space="preserve"> are altered or expanded from how they might have first appeared.  In public discourse on reconciliation every participant involved might apply a different unders</w:t>
      </w:r>
      <w:r w:rsidR="006334B7">
        <w:rPr>
          <w:lang w:val="en-GB"/>
        </w:rPr>
        <w:t xml:space="preserve">tanding and interpretation </w:t>
      </w:r>
      <w:proofErr w:type="gramStart"/>
      <w:r w:rsidR="006334B7">
        <w:rPr>
          <w:lang w:val="en-GB"/>
        </w:rPr>
        <w:t>of  Reconciliation</w:t>
      </w:r>
      <w:proofErr w:type="gramEnd"/>
      <w:r>
        <w:rPr>
          <w:lang w:val="en-GB"/>
        </w:rPr>
        <w:t xml:space="preserve">. </w:t>
      </w:r>
    </w:p>
    <w:p w14:paraId="38277052" w14:textId="77777777" w:rsidR="00786BCF" w:rsidRPr="00DF3229" w:rsidRDefault="00786BCF" w:rsidP="0030451D">
      <w:pPr>
        <w:spacing w:line="360" w:lineRule="auto"/>
        <w:jc w:val="both"/>
        <w:rPr>
          <w:rStyle w:val="IntenseReference"/>
          <w:lang w:val="en-US"/>
        </w:rPr>
      </w:pPr>
    </w:p>
    <w:p w14:paraId="5C0CCA56" w14:textId="77777777" w:rsidR="00786BCF" w:rsidRPr="00A46FA4" w:rsidRDefault="00786BCF" w:rsidP="0030451D">
      <w:pPr>
        <w:spacing w:line="360" w:lineRule="auto"/>
        <w:jc w:val="both"/>
        <w:rPr>
          <w:b/>
          <w:i/>
          <w:u w:val="single"/>
          <w:lang w:val="en-GB"/>
        </w:rPr>
      </w:pPr>
      <w:r w:rsidRPr="00A46FA4">
        <w:rPr>
          <w:b/>
          <w:i/>
          <w:u w:val="single"/>
          <w:lang w:val="en-GB"/>
        </w:rPr>
        <w:t xml:space="preserve">Scholarly Debate on Reconciliation </w:t>
      </w:r>
    </w:p>
    <w:p w14:paraId="71BB2932" w14:textId="77777777" w:rsidR="00786BCF" w:rsidRDefault="00786BCF" w:rsidP="0030451D">
      <w:pPr>
        <w:spacing w:line="360" w:lineRule="auto"/>
        <w:jc w:val="both"/>
        <w:rPr>
          <w:lang w:val="en-GB"/>
        </w:rPr>
      </w:pPr>
    </w:p>
    <w:p w14:paraId="342848D8" w14:textId="517B9B4A" w:rsidR="00786BCF" w:rsidRDefault="00786BCF" w:rsidP="0030451D">
      <w:pPr>
        <w:spacing w:line="360" w:lineRule="auto"/>
        <w:jc w:val="both"/>
        <w:rPr>
          <w:lang w:val="en-GB"/>
        </w:rPr>
      </w:pPr>
      <w:r>
        <w:rPr>
          <w:lang w:val="en-GB"/>
        </w:rPr>
        <w:t xml:space="preserve">Before considering the relationship between the work of the </w:t>
      </w:r>
      <w:proofErr w:type="spellStart"/>
      <w:r>
        <w:rPr>
          <w:lang w:val="en-GB"/>
        </w:rPr>
        <w:t>ICTY</w:t>
      </w:r>
      <w:proofErr w:type="spellEnd"/>
      <w:r>
        <w:rPr>
          <w:lang w:val="en-GB"/>
        </w:rPr>
        <w:t xml:space="preserve"> and the process of reconciliation, it will be useful to introduce a the</w:t>
      </w:r>
      <w:r w:rsidR="006334B7">
        <w:rPr>
          <w:lang w:val="en-GB"/>
        </w:rPr>
        <w:t>oretical framework of the term Reconciliation</w:t>
      </w:r>
      <w:proofErr w:type="gramStart"/>
      <w:r>
        <w:rPr>
          <w:lang w:val="en-GB"/>
        </w:rPr>
        <w:t xml:space="preserve">. </w:t>
      </w:r>
      <w:proofErr w:type="gramEnd"/>
      <w:r>
        <w:rPr>
          <w:lang w:val="en-GB"/>
        </w:rPr>
        <w:t xml:space="preserve">In scholarly literature, </w:t>
      </w:r>
      <w:r>
        <w:rPr>
          <w:szCs w:val="22"/>
          <w:lang w:val="en-GB"/>
        </w:rPr>
        <w:t xml:space="preserve">Reconciliation is often identified as a pre-requisite for a </w:t>
      </w:r>
      <w:r w:rsidRPr="000A0B9D">
        <w:rPr>
          <w:szCs w:val="22"/>
          <w:lang w:val="en-GB"/>
        </w:rPr>
        <w:t>stable peace</w:t>
      </w:r>
      <w:r>
        <w:rPr>
          <w:szCs w:val="22"/>
          <w:lang w:val="en-GB"/>
        </w:rPr>
        <w:t xml:space="preserve"> and, thus, an essential part of p</w:t>
      </w:r>
      <w:r w:rsidRPr="000A0B9D">
        <w:rPr>
          <w:lang w:val="en-GB"/>
        </w:rPr>
        <w:t>eace</w:t>
      </w:r>
      <w:r>
        <w:rPr>
          <w:lang w:val="en-GB"/>
        </w:rPr>
        <w:t xml:space="preserve"> building</w:t>
      </w:r>
      <w:r w:rsidRPr="000A0B9D">
        <w:rPr>
          <w:lang w:val="en-GB"/>
        </w:rPr>
        <w:t xml:space="preserve"> </w:t>
      </w:r>
      <w:r>
        <w:rPr>
          <w:lang w:val="en-GB"/>
        </w:rPr>
        <w:t>processes after settlement of a conflict.</w:t>
      </w:r>
      <w:r>
        <w:rPr>
          <w:rStyle w:val="FootnoteReference"/>
          <w:lang w:val="en-GB"/>
        </w:rPr>
        <w:footnoteReference w:id="2"/>
      </w:r>
      <w:r w:rsidRPr="000A0B9D">
        <w:rPr>
          <w:lang w:val="en-GB"/>
        </w:rPr>
        <w:t xml:space="preserve"> </w:t>
      </w:r>
    </w:p>
    <w:p w14:paraId="087F4CAE" w14:textId="77777777" w:rsidR="00786BCF" w:rsidRDefault="00786BCF" w:rsidP="0030451D">
      <w:pPr>
        <w:spacing w:line="360" w:lineRule="auto"/>
        <w:jc w:val="both"/>
        <w:rPr>
          <w:szCs w:val="22"/>
          <w:lang w:val="en-GB"/>
        </w:rPr>
      </w:pPr>
      <w:r>
        <w:rPr>
          <w:szCs w:val="22"/>
          <w:lang w:val="en-GB"/>
        </w:rPr>
        <w:t xml:space="preserve">  </w:t>
      </w:r>
    </w:p>
    <w:p w14:paraId="15D21E8D" w14:textId="6A88F216" w:rsidR="00786BCF" w:rsidRPr="006334B7" w:rsidRDefault="00786BCF" w:rsidP="0030451D">
      <w:pPr>
        <w:spacing w:line="360" w:lineRule="auto"/>
        <w:jc w:val="both"/>
        <w:rPr>
          <w:i/>
          <w:szCs w:val="22"/>
          <w:lang w:val="en-GB"/>
        </w:rPr>
      </w:pPr>
      <w:r w:rsidRPr="00BF548D">
        <w:rPr>
          <w:i/>
          <w:szCs w:val="22"/>
          <w:lang w:val="en-GB"/>
        </w:rPr>
        <w:lastRenderedPageBreak/>
        <w:t xml:space="preserve">Is </w:t>
      </w:r>
      <w:r>
        <w:rPr>
          <w:i/>
          <w:szCs w:val="22"/>
          <w:lang w:val="en-GB"/>
        </w:rPr>
        <w:t xml:space="preserve">it </w:t>
      </w:r>
      <w:r w:rsidRPr="00BF548D">
        <w:rPr>
          <w:i/>
          <w:szCs w:val="22"/>
          <w:lang w:val="en-GB"/>
        </w:rPr>
        <w:t xml:space="preserve">Possible to Achieve </w:t>
      </w:r>
      <w:r>
        <w:rPr>
          <w:i/>
          <w:szCs w:val="22"/>
          <w:lang w:val="en-GB"/>
        </w:rPr>
        <w:t>a Stable Peace w</w:t>
      </w:r>
      <w:r w:rsidRPr="00BF548D">
        <w:rPr>
          <w:i/>
          <w:szCs w:val="22"/>
          <w:lang w:val="en-GB"/>
        </w:rPr>
        <w:t>ithout Reconciliation?</w:t>
      </w:r>
    </w:p>
    <w:p w14:paraId="38EAC005" w14:textId="77777777" w:rsidR="00786BCF" w:rsidRDefault="00786BCF" w:rsidP="0030451D">
      <w:pPr>
        <w:spacing w:line="360" w:lineRule="auto"/>
        <w:jc w:val="both"/>
        <w:rPr>
          <w:szCs w:val="22"/>
          <w:lang w:val="en-GB"/>
        </w:rPr>
      </w:pPr>
      <w:r>
        <w:rPr>
          <w:szCs w:val="22"/>
          <w:lang w:val="en-GB"/>
        </w:rPr>
        <w:t xml:space="preserve">It should not be assumed that the end of every conflict </w:t>
      </w:r>
      <w:proofErr w:type="gramStart"/>
      <w:r>
        <w:rPr>
          <w:szCs w:val="22"/>
          <w:lang w:val="en-GB"/>
        </w:rPr>
        <w:t>will</w:t>
      </w:r>
      <w:proofErr w:type="gramEnd"/>
      <w:r>
        <w:rPr>
          <w:szCs w:val="22"/>
          <w:lang w:val="en-GB"/>
        </w:rPr>
        <w:t xml:space="preserve"> be followed by reconciliation.  Some scholars argue that </w:t>
      </w:r>
      <w:r w:rsidRPr="000A0B9D">
        <w:rPr>
          <w:szCs w:val="22"/>
          <w:lang w:val="en-GB"/>
        </w:rPr>
        <w:t xml:space="preserve">there are in history </w:t>
      </w:r>
      <w:r>
        <w:rPr>
          <w:szCs w:val="22"/>
          <w:lang w:val="en-GB"/>
        </w:rPr>
        <w:t xml:space="preserve">many </w:t>
      </w:r>
      <w:r w:rsidRPr="000A0B9D">
        <w:rPr>
          <w:szCs w:val="22"/>
          <w:lang w:val="en-GB"/>
        </w:rPr>
        <w:t>examples of civil, intra</w:t>
      </w:r>
      <w:r>
        <w:rPr>
          <w:szCs w:val="22"/>
          <w:lang w:val="en-GB"/>
        </w:rPr>
        <w:t>-</w:t>
      </w:r>
      <w:proofErr w:type="gramStart"/>
      <w:r w:rsidRPr="000A0B9D">
        <w:rPr>
          <w:szCs w:val="22"/>
          <w:lang w:val="en-GB"/>
        </w:rPr>
        <w:t>state</w:t>
      </w:r>
      <w:proofErr w:type="gramEnd"/>
      <w:r w:rsidRPr="000A0B9D">
        <w:rPr>
          <w:szCs w:val="22"/>
          <w:lang w:val="en-GB"/>
        </w:rPr>
        <w:t xml:space="preserve"> and </w:t>
      </w:r>
      <w:r>
        <w:rPr>
          <w:szCs w:val="22"/>
          <w:lang w:val="en-GB"/>
        </w:rPr>
        <w:t xml:space="preserve">inter-state </w:t>
      </w:r>
      <w:r w:rsidRPr="000A0B9D">
        <w:rPr>
          <w:szCs w:val="22"/>
          <w:lang w:val="en-GB"/>
        </w:rPr>
        <w:t xml:space="preserve">conflicts that </w:t>
      </w:r>
      <w:r>
        <w:rPr>
          <w:szCs w:val="22"/>
          <w:lang w:val="en-GB"/>
        </w:rPr>
        <w:t xml:space="preserve">ended without subsequent </w:t>
      </w:r>
      <w:r w:rsidRPr="000A0B9D">
        <w:rPr>
          <w:szCs w:val="22"/>
          <w:lang w:val="en-GB"/>
        </w:rPr>
        <w:t>reconciliation</w:t>
      </w:r>
      <w:r>
        <w:rPr>
          <w:szCs w:val="22"/>
          <w:lang w:val="en-GB"/>
        </w:rPr>
        <w:t xml:space="preserve"> processes but where former </w:t>
      </w:r>
      <w:r w:rsidRPr="000A0B9D">
        <w:rPr>
          <w:szCs w:val="22"/>
          <w:lang w:val="en-GB"/>
        </w:rPr>
        <w:t xml:space="preserve">enemies </w:t>
      </w:r>
      <w:r>
        <w:rPr>
          <w:szCs w:val="22"/>
          <w:lang w:val="en-GB"/>
        </w:rPr>
        <w:t xml:space="preserve">were still able to </w:t>
      </w:r>
      <w:r w:rsidRPr="000A0B9D">
        <w:rPr>
          <w:szCs w:val="22"/>
          <w:lang w:val="en-GB"/>
        </w:rPr>
        <w:t xml:space="preserve">live </w:t>
      </w:r>
      <w:r>
        <w:rPr>
          <w:szCs w:val="22"/>
          <w:lang w:val="en-GB"/>
        </w:rPr>
        <w:t xml:space="preserve">side-by-side </w:t>
      </w:r>
      <w:r w:rsidRPr="000A0B9D">
        <w:rPr>
          <w:szCs w:val="22"/>
          <w:lang w:val="en-GB"/>
        </w:rPr>
        <w:t xml:space="preserve">in relative peace. </w:t>
      </w:r>
      <w:r>
        <w:rPr>
          <w:szCs w:val="22"/>
          <w:lang w:val="en-GB"/>
        </w:rPr>
        <w:t xml:space="preserve"> One explanation for this is that in earlier times </w:t>
      </w:r>
      <w:r w:rsidRPr="000A0B9D">
        <w:rPr>
          <w:szCs w:val="22"/>
          <w:lang w:val="en-GB"/>
        </w:rPr>
        <w:t xml:space="preserve">most wars </w:t>
      </w:r>
      <w:r>
        <w:rPr>
          <w:szCs w:val="22"/>
          <w:lang w:val="en-GB"/>
        </w:rPr>
        <w:t xml:space="preserve">around the world </w:t>
      </w:r>
      <w:r w:rsidRPr="000A0B9D">
        <w:rPr>
          <w:szCs w:val="22"/>
          <w:lang w:val="en-GB"/>
        </w:rPr>
        <w:t>ended with a victor and a defeated party,</w:t>
      </w:r>
      <w:r>
        <w:rPr>
          <w:szCs w:val="22"/>
          <w:lang w:val="en-GB"/>
        </w:rPr>
        <w:t xml:space="preserve"> which, having lost the military conflict, had no choice but to accept the terms of the peace.</w:t>
      </w:r>
      <w:r>
        <w:rPr>
          <w:rStyle w:val="FootnoteReference"/>
          <w:szCs w:val="22"/>
          <w:lang w:val="en-GB"/>
        </w:rPr>
        <w:footnoteReference w:id="3"/>
      </w:r>
      <w:proofErr w:type="gramStart"/>
      <w:r>
        <w:rPr>
          <w:szCs w:val="22"/>
          <w:lang w:val="en-GB"/>
        </w:rPr>
        <w:t xml:space="preserve"> </w:t>
      </w:r>
      <w:proofErr w:type="gramEnd"/>
      <w:r>
        <w:rPr>
          <w:szCs w:val="22"/>
          <w:lang w:val="en-GB"/>
        </w:rPr>
        <w:t xml:space="preserve">The history of Europe, however, shows that the </w:t>
      </w:r>
      <w:proofErr w:type="spellStart"/>
      <w:r w:rsidRPr="00495E44">
        <w:rPr>
          <w:i/>
          <w:szCs w:val="22"/>
          <w:lang w:val="en-GB"/>
        </w:rPr>
        <w:t>dictat</w:t>
      </w:r>
      <w:proofErr w:type="spellEnd"/>
      <w:r w:rsidRPr="00495E44">
        <w:rPr>
          <w:i/>
          <w:szCs w:val="22"/>
          <w:lang w:val="en-GB"/>
        </w:rPr>
        <w:t xml:space="preserve"> </w:t>
      </w:r>
      <w:r>
        <w:rPr>
          <w:szCs w:val="22"/>
          <w:lang w:val="en-GB"/>
        </w:rPr>
        <w:t xml:space="preserve">of a victor might - but did not necessarily - lead to a stable or lasting peace.  Useful examples for comparison are provided by both ‘World Wars’.  The treatment of Germany by the victorious states after the First World </w:t>
      </w:r>
      <w:proofErr w:type="gramStart"/>
      <w:r>
        <w:rPr>
          <w:szCs w:val="22"/>
          <w:lang w:val="en-GB"/>
        </w:rPr>
        <w:t>War,</w:t>
      </w:r>
      <w:proofErr w:type="gramEnd"/>
      <w:r>
        <w:rPr>
          <w:szCs w:val="22"/>
          <w:lang w:val="en-GB"/>
        </w:rPr>
        <w:t xml:space="preserve"> included a heavy reparation package that was imposed on Germany.  This impoverished and humiliated the nation and paved the way to the rise of Hitler and the outbreak of the Second World War.  After the Second World War the victor states included Germany in the Marshal Plan, which made Germany a prosperous democratic state and one of pillars of the EU. </w:t>
      </w:r>
    </w:p>
    <w:p w14:paraId="20D54D85" w14:textId="77777777" w:rsidR="00786BCF" w:rsidRPr="00BF548D" w:rsidRDefault="00786BCF" w:rsidP="0030451D">
      <w:pPr>
        <w:spacing w:line="360" w:lineRule="auto"/>
        <w:jc w:val="both"/>
        <w:rPr>
          <w:i/>
          <w:szCs w:val="22"/>
          <w:lang w:val="en-GB"/>
        </w:rPr>
      </w:pPr>
      <w:r>
        <w:rPr>
          <w:szCs w:val="22"/>
          <w:lang w:val="en-GB"/>
        </w:rPr>
        <w:t xml:space="preserve"> </w:t>
      </w:r>
    </w:p>
    <w:p w14:paraId="0451F77F" w14:textId="588E6A18" w:rsidR="00786BCF" w:rsidRPr="00BF548D" w:rsidRDefault="00786BCF" w:rsidP="0030451D">
      <w:pPr>
        <w:spacing w:line="360" w:lineRule="auto"/>
        <w:jc w:val="both"/>
        <w:rPr>
          <w:i/>
          <w:lang w:val="en-GB"/>
        </w:rPr>
      </w:pPr>
      <w:r w:rsidRPr="00BF548D">
        <w:rPr>
          <w:i/>
          <w:lang w:val="en-GB"/>
        </w:rPr>
        <w:t xml:space="preserve">Should Reconciliation </w:t>
      </w:r>
      <w:r>
        <w:rPr>
          <w:i/>
          <w:lang w:val="en-GB"/>
        </w:rPr>
        <w:t>b</w:t>
      </w:r>
      <w:r w:rsidRPr="00BF548D">
        <w:rPr>
          <w:i/>
          <w:lang w:val="en-GB"/>
        </w:rPr>
        <w:t xml:space="preserve">e </w:t>
      </w:r>
      <w:r>
        <w:rPr>
          <w:i/>
          <w:lang w:val="en-GB"/>
        </w:rPr>
        <w:t>a</w:t>
      </w:r>
      <w:r w:rsidRPr="00BF548D">
        <w:rPr>
          <w:i/>
          <w:lang w:val="en-GB"/>
        </w:rPr>
        <w:t xml:space="preserve">ddressed </w:t>
      </w:r>
      <w:r>
        <w:rPr>
          <w:i/>
          <w:lang w:val="en-GB"/>
        </w:rPr>
        <w:t>at the</w:t>
      </w:r>
      <w:r w:rsidRPr="00BF548D">
        <w:rPr>
          <w:i/>
          <w:lang w:val="en-GB"/>
        </w:rPr>
        <w:t xml:space="preserve"> level of State or Society?</w:t>
      </w:r>
    </w:p>
    <w:p w14:paraId="57907B08" w14:textId="77777777" w:rsidR="00786BCF" w:rsidRDefault="00786BCF" w:rsidP="0030451D">
      <w:pPr>
        <w:spacing w:line="360" w:lineRule="auto"/>
        <w:jc w:val="both"/>
        <w:rPr>
          <w:lang w:val="en-GB"/>
        </w:rPr>
      </w:pPr>
      <w:r>
        <w:rPr>
          <w:lang w:val="en-GB"/>
        </w:rPr>
        <w:t>One of the issues raised in scholarly debate is whether R</w:t>
      </w:r>
      <w:r w:rsidRPr="000A0B9D">
        <w:rPr>
          <w:lang w:val="en-GB"/>
        </w:rPr>
        <w:t xml:space="preserve">econciliation </w:t>
      </w:r>
      <w:r>
        <w:rPr>
          <w:lang w:val="en-GB"/>
        </w:rPr>
        <w:t xml:space="preserve">is </w:t>
      </w:r>
      <w:r w:rsidRPr="000A0B9D">
        <w:rPr>
          <w:lang w:val="en-GB"/>
        </w:rPr>
        <w:t xml:space="preserve">a spontaneous </w:t>
      </w:r>
      <w:r>
        <w:rPr>
          <w:lang w:val="en-GB"/>
        </w:rPr>
        <w:t xml:space="preserve">bottom-up </w:t>
      </w:r>
      <w:r w:rsidRPr="000A0B9D">
        <w:rPr>
          <w:lang w:val="en-GB"/>
        </w:rPr>
        <w:t>process</w:t>
      </w:r>
      <w:r>
        <w:rPr>
          <w:lang w:val="en-GB"/>
        </w:rPr>
        <w:t xml:space="preserve"> marked by emotional or psychological reconciliation</w:t>
      </w:r>
      <w:r w:rsidRPr="000A0B9D">
        <w:rPr>
          <w:lang w:val="en-GB"/>
        </w:rPr>
        <w:t xml:space="preserve">, or a planned socio-political </w:t>
      </w:r>
      <w:r>
        <w:rPr>
          <w:lang w:val="en-GB"/>
        </w:rPr>
        <w:t xml:space="preserve">top-down </w:t>
      </w:r>
      <w:r w:rsidRPr="000A0B9D">
        <w:rPr>
          <w:lang w:val="en-GB"/>
        </w:rPr>
        <w:t>strategy</w:t>
      </w:r>
      <w:r>
        <w:rPr>
          <w:lang w:val="en-GB"/>
        </w:rPr>
        <w:t>, with an important role to be fulfilled by national political leaderships</w:t>
      </w:r>
      <w:r w:rsidRPr="000A0B9D">
        <w:rPr>
          <w:lang w:val="en-GB"/>
        </w:rPr>
        <w:t>?</w:t>
      </w:r>
      <w:r>
        <w:rPr>
          <w:rStyle w:val="FootnoteReference"/>
          <w:lang w:val="en-GB"/>
        </w:rPr>
        <w:footnoteReference w:id="4"/>
      </w:r>
      <w:r w:rsidRPr="000A0B9D">
        <w:rPr>
          <w:lang w:val="en-GB"/>
        </w:rPr>
        <w:t xml:space="preserve"> </w:t>
      </w:r>
      <w:r>
        <w:rPr>
          <w:lang w:val="en-GB"/>
        </w:rPr>
        <w:t xml:space="preserve"> A related issue concerns target groups: does Reconciliation address states or societal groups or individuals?</w:t>
      </w:r>
      <w:r w:rsidRPr="000A0B9D">
        <w:rPr>
          <w:lang w:val="en-GB"/>
        </w:rPr>
        <w:t xml:space="preserve"> </w:t>
      </w:r>
      <w:r>
        <w:rPr>
          <w:lang w:val="en-GB"/>
        </w:rPr>
        <w:t xml:space="preserve"> The so-called ‘Realists’</w:t>
      </w:r>
      <w:r w:rsidRPr="000A0B9D">
        <w:rPr>
          <w:lang w:val="en-GB"/>
        </w:rPr>
        <w:t xml:space="preserve"> a</w:t>
      </w:r>
      <w:r>
        <w:rPr>
          <w:lang w:val="en-GB"/>
        </w:rPr>
        <w:t xml:space="preserve">rgue that </w:t>
      </w:r>
      <w:r w:rsidRPr="000A0B9D">
        <w:rPr>
          <w:lang w:val="en-GB"/>
        </w:rPr>
        <w:t>sovereign states are the primary actors in international affairs</w:t>
      </w:r>
      <w:r>
        <w:rPr>
          <w:lang w:val="en-GB"/>
        </w:rPr>
        <w:t xml:space="preserve"> and that reconciliation should be addressed at the level of states.  Others, the so-called ‘Liberals’, argue that </w:t>
      </w:r>
      <w:r w:rsidRPr="000A0B9D">
        <w:rPr>
          <w:lang w:val="en-GB"/>
        </w:rPr>
        <w:t xml:space="preserve">reconciliation </w:t>
      </w:r>
      <w:r>
        <w:rPr>
          <w:lang w:val="en-GB"/>
        </w:rPr>
        <w:t xml:space="preserve">concerns </w:t>
      </w:r>
      <w:r w:rsidRPr="000A0B9D">
        <w:rPr>
          <w:lang w:val="en-GB"/>
        </w:rPr>
        <w:t xml:space="preserve">personal relations or religious experiences </w:t>
      </w:r>
      <w:r>
        <w:rPr>
          <w:lang w:val="en-GB"/>
        </w:rPr>
        <w:t xml:space="preserve">of </w:t>
      </w:r>
      <w:r w:rsidRPr="000A0B9D">
        <w:rPr>
          <w:lang w:val="en-GB"/>
        </w:rPr>
        <w:t>individual</w:t>
      </w:r>
      <w:r>
        <w:rPr>
          <w:lang w:val="en-GB"/>
        </w:rPr>
        <w:t>s and of small ‘face-to-face’ groups</w:t>
      </w:r>
      <w:r w:rsidRPr="000A0B9D">
        <w:rPr>
          <w:lang w:val="en-GB"/>
        </w:rPr>
        <w:t xml:space="preserve"> </w:t>
      </w:r>
      <w:r>
        <w:rPr>
          <w:lang w:val="en-GB"/>
        </w:rPr>
        <w:t xml:space="preserve">and as such should be addressed at the level of society.  </w:t>
      </w:r>
      <w:r w:rsidRPr="000A0B9D">
        <w:rPr>
          <w:lang w:val="en-GB"/>
        </w:rPr>
        <w:t>A</w:t>
      </w:r>
      <w:r>
        <w:rPr>
          <w:lang w:val="en-GB"/>
        </w:rPr>
        <w:t>ccording to this</w:t>
      </w:r>
      <w:r w:rsidRPr="000A0B9D">
        <w:rPr>
          <w:lang w:val="en-GB"/>
        </w:rPr>
        <w:t xml:space="preserve"> </w:t>
      </w:r>
      <w:r>
        <w:rPr>
          <w:lang w:val="en-GB"/>
        </w:rPr>
        <w:t xml:space="preserve">approach </w:t>
      </w:r>
      <w:r w:rsidRPr="000A0B9D">
        <w:rPr>
          <w:lang w:val="en-GB"/>
        </w:rPr>
        <w:t>societal reconciliation is the only process that may bring people to internalise the meanin</w:t>
      </w:r>
      <w:r>
        <w:rPr>
          <w:lang w:val="en-GB"/>
        </w:rPr>
        <w:t>g of peace and then support it.</w:t>
      </w:r>
      <w:r>
        <w:rPr>
          <w:rStyle w:val="FootnoteReference"/>
          <w:lang w:val="en-GB"/>
        </w:rPr>
        <w:footnoteReference w:id="5"/>
      </w:r>
      <w:r>
        <w:rPr>
          <w:lang w:val="en-GB"/>
        </w:rPr>
        <w:t xml:space="preserve"> </w:t>
      </w:r>
    </w:p>
    <w:p w14:paraId="5CCCCF13" w14:textId="77777777" w:rsidR="00786BCF" w:rsidRDefault="00786BCF" w:rsidP="0030451D">
      <w:pPr>
        <w:spacing w:line="360" w:lineRule="auto"/>
        <w:jc w:val="both"/>
        <w:rPr>
          <w:lang w:val="en-GB"/>
        </w:rPr>
      </w:pPr>
    </w:p>
    <w:p w14:paraId="22BC1EE5" w14:textId="77777777" w:rsidR="006334B7" w:rsidRDefault="006334B7" w:rsidP="0030451D">
      <w:pPr>
        <w:spacing w:line="360" w:lineRule="auto"/>
        <w:jc w:val="both"/>
        <w:rPr>
          <w:i/>
          <w:lang w:val="en-GB"/>
        </w:rPr>
      </w:pPr>
    </w:p>
    <w:p w14:paraId="4AA7B0A1" w14:textId="031BB228" w:rsidR="00786BCF" w:rsidRPr="006334B7" w:rsidRDefault="00786BCF" w:rsidP="0030451D">
      <w:pPr>
        <w:spacing w:line="360" w:lineRule="auto"/>
        <w:jc w:val="both"/>
        <w:rPr>
          <w:i/>
          <w:lang w:val="en-GB"/>
        </w:rPr>
      </w:pPr>
      <w:r>
        <w:rPr>
          <w:i/>
          <w:lang w:val="en-GB"/>
        </w:rPr>
        <w:lastRenderedPageBreak/>
        <w:t xml:space="preserve">Should </w:t>
      </w:r>
      <w:r w:rsidRPr="0090019C">
        <w:rPr>
          <w:i/>
          <w:lang w:val="en-GB"/>
        </w:rPr>
        <w:t xml:space="preserve">Reconciliation </w:t>
      </w:r>
      <w:r>
        <w:rPr>
          <w:i/>
          <w:lang w:val="en-GB"/>
        </w:rPr>
        <w:t xml:space="preserve">be seen </w:t>
      </w:r>
      <w:r w:rsidRPr="0090019C">
        <w:rPr>
          <w:i/>
          <w:lang w:val="en-GB"/>
        </w:rPr>
        <w:t>as a Final Objective or A Process</w:t>
      </w:r>
      <w:r>
        <w:rPr>
          <w:i/>
          <w:lang w:val="en-GB"/>
        </w:rPr>
        <w:t>?</w:t>
      </w:r>
    </w:p>
    <w:p w14:paraId="307C7BD5" w14:textId="40EA99D1" w:rsidR="00786BCF" w:rsidRPr="006334B7" w:rsidRDefault="00786BCF" w:rsidP="0030451D">
      <w:pPr>
        <w:spacing w:line="360" w:lineRule="auto"/>
        <w:jc w:val="both"/>
        <w:rPr>
          <w:lang w:val="en-GB"/>
        </w:rPr>
      </w:pPr>
      <w:r>
        <w:rPr>
          <w:lang w:val="en-GB"/>
        </w:rPr>
        <w:t>A further issue arising from the debate is whether R</w:t>
      </w:r>
      <w:r w:rsidRPr="000A0B9D">
        <w:rPr>
          <w:lang w:val="en-GB"/>
        </w:rPr>
        <w:t xml:space="preserve">econciliation </w:t>
      </w:r>
      <w:r>
        <w:rPr>
          <w:lang w:val="en-GB"/>
        </w:rPr>
        <w:t xml:space="preserve">should be seen as an objective to be achieved or as </w:t>
      </w:r>
      <w:r w:rsidRPr="000A0B9D">
        <w:rPr>
          <w:lang w:val="en-GB"/>
        </w:rPr>
        <w:t xml:space="preserve">a process. </w:t>
      </w:r>
      <w:r>
        <w:rPr>
          <w:lang w:val="en-GB"/>
        </w:rPr>
        <w:t xml:space="preserve"> Scholars who see R</w:t>
      </w:r>
      <w:r w:rsidRPr="000A0B9D">
        <w:rPr>
          <w:lang w:val="en-GB"/>
        </w:rPr>
        <w:t xml:space="preserve">econciliation as a socio-emotional phenomenon </w:t>
      </w:r>
      <w:r>
        <w:rPr>
          <w:lang w:val="en-GB"/>
        </w:rPr>
        <w:t>consider it as</w:t>
      </w:r>
      <w:r w:rsidRPr="000A0B9D">
        <w:rPr>
          <w:lang w:val="en-GB"/>
        </w:rPr>
        <w:t xml:space="preserve"> the end </w:t>
      </w:r>
      <w:r>
        <w:rPr>
          <w:lang w:val="en-GB"/>
        </w:rPr>
        <w:t xml:space="preserve">objective </w:t>
      </w:r>
      <w:r w:rsidRPr="000A0B9D">
        <w:rPr>
          <w:lang w:val="en-GB"/>
        </w:rPr>
        <w:t xml:space="preserve">and </w:t>
      </w:r>
      <w:r>
        <w:rPr>
          <w:lang w:val="en-GB"/>
        </w:rPr>
        <w:t xml:space="preserve">see it as a final stage </w:t>
      </w:r>
      <w:r w:rsidRPr="000A0B9D">
        <w:rPr>
          <w:lang w:val="en-GB"/>
        </w:rPr>
        <w:t>of the peace</w:t>
      </w:r>
      <w:r>
        <w:rPr>
          <w:lang w:val="en-GB"/>
        </w:rPr>
        <w:t>-</w:t>
      </w:r>
      <w:r w:rsidRPr="000A0B9D">
        <w:rPr>
          <w:lang w:val="en-GB"/>
        </w:rPr>
        <w:t>making process</w:t>
      </w:r>
      <w:r>
        <w:rPr>
          <w:lang w:val="en-GB"/>
        </w:rPr>
        <w:t>.</w:t>
      </w:r>
      <w:r>
        <w:rPr>
          <w:rStyle w:val="FootnoteReference"/>
          <w:lang w:val="en-GB"/>
        </w:rPr>
        <w:footnoteReference w:id="6"/>
      </w:r>
      <w:r w:rsidRPr="000A0B9D">
        <w:rPr>
          <w:lang w:val="en-GB"/>
        </w:rPr>
        <w:t xml:space="preserve"> </w:t>
      </w:r>
      <w:r>
        <w:rPr>
          <w:lang w:val="en-GB"/>
        </w:rPr>
        <w:t xml:space="preserve"> Some authors see the objective </w:t>
      </w:r>
      <w:r w:rsidRPr="000A0B9D">
        <w:rPr>
          <w:lang w:val="en-GB"/>
        </w:rPr>
        <w:t xml:space="preserve">of reconciliation </w:t>
      </w:r>
      <w:r>
        <w:rPr>
          <w:lang w:val="en-GB"/>
        </w:rPr>
        <w:t xml:space="preserve">as something to aim towards - </w:t>
      </w:r>
      <w:r w:rsidRPr="000A0B9D">
        <w:rPr>
          <w:lang w:val="en-GB"/>
        </w:rPr>
        <w:t>‘an ideal state to hope for’</w:t>
      </w:r>
      <w:r>
        <w:rPr>
          <w:lang w:val="en-GB"/>
        </w:rPr>
        <w:t>.</w:t>
      </w:r>
      <w:r>
        <w:rPr>
          <w:rStyle w:val="FootnoteReference"/>
          <w:lang w:val="en-GB"/>
        </w:rPr>
        <w:footnoteReference w:id="7"/>
      </w:r>
      <w:r w:rsidRPr="000A0B9D">
        <w:rPr>
          <w:lang w:val="en-GB"/>
        </w:rPr>
        <w:t xml:space="preserve"> </w:t>
      </w:r>
      <w:r>
        <w:rPr>
          <w:lang w:val="en-GB"/>
        </w:rPr>
        <w:t xml:space="preserve"> Those who see R</w:t>
      </w:r>
      <w:r w:rsidRPr="000A0B9D">
        <w:rPr>
          <w:lang w:val="en-GB"/>
        </w:rPr>
        <w:t xml:space="preserve">econciliation as a process </w:t>
      </w:r>
      <w:r>
        <w:rPr>
          <w:lang w:val="en-GB"/>
        </w:rPr>
        <w:t xml:space="preserve">stress that, in the process of reconciliation, </w:t>
      </w:r>
      <w:r w:rsidRPr="000A0B9D">
        <w:rPr>
          <w:lang w:val="en-GB"/>
        </w:rPr>
        <w:t>changes of motivation, goals, beliefs, attitudes and emotions by most group members</w:t>
      </w:r>
      <w:r>
        <w:rPr>
          <w:lang w:val="en-GB"/>
        </w:rPr>
        <w:t xml:space="preserve"> take place and that these changes have to be taken into account</w:t>
      </w:r>
      <w:r w:rsidRPr="000A0B9D">
        <w:rPr>
          <w:lang w:val="en-GB"/>
        </w:rPr>
        <w:t>.</w:t>
      </w:r>
      <w:r>
        <w:rPr>
          <w:rStyle w:val="FootnoteReference"/>
          <w:lang w:val="en-GB"/>
        </w:rPr>
        <w:footnoteReference w:id="8"/>
      </w:r>
      <w:r w:rsidRPr="000A0B9D">
        <w:rPr>
          <w:lang w:val="en-GB"/>
        </w:rPr>
        <w:t xml:space="preserve"> </w:t>
      </w:r>
    </w:p>
    <w:p w14:paraId="32A776B1" w14:textId="77777777" w:rsidR="00786BCF" w:rsidRDefault="00786BCF" w:rsidP="0030451D">
      <w:pPr>
        <w:spacing w:line="360" w:lineRule="auto"/>
        <w:jc w:val="both"/>
        <w:rPr>
          <w:i/>
          <w:lang w:val="en-GB"/>
        </w:rPr>
      </w:pPr>
      <w:r>
        <w:rPr>
          <w:i/>
          <w:lang w:val="en-GB"/>
        </w:rPr>
        <w:t>A Model</w:t>
      </w:r>
      <w:r w:rsidRPr="00643FEC">
        <w:rPr>
          <w:i/>
          <w:lang w:val="en-GB"/>
        </w:rPr>
        <w:t xml:space="preserve"> of Reconciliation</w:t>
      </w:r>
    </w:p>
    <w:p w14:paraId="5D8135BF" w14:textId="77777777" w:rsidR="00786BCF" w:rsidRPr="00643FEC" w:rsidRDefault="00786BCF" w:rsidP="0030451D">
      <w:pPr>
        <w:spacing w:line="360" w:lineRule="auto"/>
        <w:jc w:val="both"/>
        <w:rPr>
          <w:lang w:val="en-GB"/>
        </w:rPr>
      </w:pPr>
      <w:r>
        <w:rPr>
          <w:lang w:val="en-GB"/>
        </w:rPr>
        <w:t xml:space="preserve">Conflict studies offer useful analysis of the dynamics of pre-conflict, </w:t>
      </w:r>
      <w:proofErr w:type="gramStart"/>
      <w:r>
        <w:rPr>
          <w:lang w:val="en-GB"/>
        </w:rPr>
        <w:t>conflict</w:t>
      </w:r>
      <w:proofErr w:type="gramEnd"/>
      <w:r>
        <w:rPr>
          <w:lang w:val="en-GB"/>
        </w:rPr>
        <w:t xml:space="preserve"> and post-conflict processes.  In the post-conflict period - the stage of Ceasefire - Agreement and Normalisation might be required as preconditions for Reconciliation.  Yet there would need to be determined when and how reconciliation could and should take place on the individual emotional-psychological level and to distinguish that from group-to-group reconciliation and from state-to-state reconciliation.  Besides, it is not always clear what exactly is the difference between Normalisation and Reconciliation.  </w:t>
      </w:r>
    </w:p>
    <w:p w14:paraId="40F7CB3C" w14:textId="77777777" w:rsidR="00786BCF" w:rsidRPr="000A0B9D" w:rsidRDefault="00786BCF" w:rsidP="0030451D">
      <w:pPr>
        <w:spacing w:line="360" w:lineRule="auto"/>
        <w:jc w:val="both"/>
        <w:rPr>
          <w:lang w:val="en-GB"/>
        </w:rPr>
      </w:pPr>
    </w:p>
    <w:p w14:paraId="7D3C9762" w14:textId="77777777" w:rsidR="00786BCF" w:rsidRDefault="00490C1C" w:rsidP="0030451D">
      <w:pPr>
        <w:spacing w:line="360" w:lineRule="auto"/>
        <w:jc w:val="both"/>
        <w:rPr>
          <w:b/>
          <w:sz w:val="20"/>
          <w:szCs w:val="20"/>
          <w:lang w:val="en-GB"/>
        </w:rPr>
      </w:pPr>
      <w:r>
        <w:rPr>
          <w:noProof/>
          <w:lang w:val="en-US" w:eastAsia="en-US"/>
        </w:rPr>
        <w:drawing>
          <wp:inline distT="0" distB="0" distL="0" distR="0" wp14:anchorId="666FEC82" wp14:editId="6ED1139C">
            <wp:extent cx="5088255" cy="2455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8255" cy="2455545"/>
                    </a:xfrm>
                    <a:prstGeom prst="rect">
                      <a:avLst/>
                    </a:prstGeom>
                    <a:noFill/>
                    <a:ln>
                      <a:noFill/>
                    </a:ln>
                  </pic:spPr>
                </pic:pic>
              </a:graphicData>
            </a:graphic>
          </wp:inline>
        </w:drawing>
      </w:r>
    </w:p>
    <w:p w14:paraId="18887B99" w14:textId="77777777" w:rsidR="00786BCF" w:rsidRDefault="00786BCF" w:rsidP="0030451D">
      <w:pPr>
        <w:spacing w:line="360" w:lineRule="auto"/>
        <w:jc w:val="both"/>
        <w:rPr>
          <w:b/>
          <w:i/>
          <w:lang w:val="en-GB"/>
        </w:rPr>
      </w:pPr>
      <w:r w:rsidRPr="003D6505">
        <w:rPr>
          <w:b/>
          <w:sz w:val="20"/>
          <w:szCs w:val="20"/>
          <w:lang w:val="en-GB"/>
        </w:rPr>
        <w:t>Model of Conflict escalation and</w:t>
      </w:r>
      <w:r>
        <w:rPr>
          <w:b/>
          <w:sz w:val="20"/>
          <w:szCs w:val="20"/>
          <w:lang w:val="en-GB"/>
        </w:rPr>
        <w:t xml:space="preserve"> de-escalation (</w:t>
      </w:r>
      <w:proofErr w:type="spellStart"/>
      <w:r>
        <w:rPr>
          <w:b/>
          <w:sz w:val="20"/>
          <w:szCs w:val="20"/>
          <w:lang w:val="en-GB"/>
        </w:rPr>
        <w:t>Ramsbotham</w:t>
      </w:r>
      <w:proofErr w:type="spellEnd"/>
      <w:r>
        <w:rPr>
          <w:b/>
          <w:sz w:val="20"/>
          <w:szCs w:val="20"/>
          <w:lang w:val="en-GB"/>
        </w:rPr>
        <w:t xml:space="preserve">, </w:t>
      </w:r>
      <w:r w:rsidRPr="000B4E24">
        <w:rPr>
          <w:b/>
          <w:sz w:val="20"/>
          <w:szCs w:val="20"/>
          <w:lang w:val="en-GB"/>
        </w:rPr>
        <w:t xml:space="preserve">Woodhouse and </w:t>
      </w:r>
      <w:proofErr w:type="spellStart"/>
      <w:r w:rsidRPr="000B4E24">
        <w:rPr>
          <w:b/>
          <w:sz w:val="20"/>
          <w:szCs w:val="20"/>
          <w:lang w:val="en-GB"/>
        </w:rPr>
        <w:t>Miall</w:t>
      </w:r>
      <w:proofErr w:type="spellEnd"/>
      <w:r w:rsidRPr="000A0B9D">
        <w:rPr>
          <w:lang w:val="en-GB"/>
        </w:rPr>
        <w:t xml:space="preserve"> </w:t>
      </w:r>
      <w:r>
        <w:rPr>
          <w:b/>
          <w:sz w:val="20"/>
          <w:szCs w:val="20"/>
          <w:lang w:val="en-GB"/>
        </w:rPr>
        <w:t>2005,</w:t>
      </w:r>
      <w:r w:rsidRPr="003D6505">
        <w:rPr>
          <w:b/>
          <w:sz w:val="20"/>
          <w:szCs w:val="20"/>
          <w:lang w:val="en-GB"/>
        </w:rPr>
        <w:t xml:space="preserve"> 9)</w:t>
      </w:r>
    </w:p>
    <w:p w14:paraId="46FA4CC3" w14:textId="77777777" w:rsidR="00786BCF" w:rsidRDefault="00786BCF" w:rsidP="001F3A37">
      <w:pPr>
        <w:jc w:val="both"/>
        <w:rPr>
          <w:b/>
          <w:i/>
          <w:lang w:val="en-GB"/>
        </w:rPr>
      </w:pPr>
    </w:p>
    <w:p w14:paraId="0B5FA6D1" w14:textId="77777777" w:rsidR="00786BCF" w:rsidRPr="00371B2F" w:rsidRDefault="00786BCF" w:rsidP="0030451D">
      <w:pPr>
        <w:pStyle w:val="NT-Normal"/>
        <w:rPr>
          <w:rFonts w:ascii="Times New Roman" w:hAnsi="Times New Roman" w:cs="Times New Roman"/>
        </w:rPr>
      </w:pPr>
      <w:r>
        <w:rPr>
          <w:lang w:val="en-GB"/>
        </w:rPr>
        <w:lastRenderedPageBreak/>
        <w:t>T</w:t>
      </w:r>
      <w:r w:rsidRPr="001B5146">
        <w:rPr>
          <w:lang w:val="en-GB"/>
        </w:rPr>
        <w:t>his chart</w:t>
      </w:r>
      <w:r>
        <w:rPr>
          <w:lang w:val="en-GB"/>
        </w:rPr>
        <w:t>, helpful though it may be in some ways,</w:t>
      </w:r>
      <w:r w:rsidRPr="001B5146">
        <w:rPr>
          <w:lang w:val="en-GB"/>
        </w:rPr>
        <w:t xml:space="preserve"> does not </w:t>
      </w:r>
      <w:r>
        <w:rPr>
          <w:lang w:val="en-GB"/>
        </w:rPr>
        <w:t xml:space="preserve">deal with the concept of Transitional Justice.  </w:t>
      </w:r>
      <w:r w:rsidRPr="00371B2F">
        <w:rPr>
          <w:rFonts w:ascii="Times New Roman" w:hAnsi="Times New Roman" w:cs="Times New Roman"/>
        </w:rPr>
        <w:t>The realities of post-conflict societies all over the world show that there is no efficient prescription for how a society should deal</w:t>
      </w:r>
      <w:r>
        <w:rPr>
          <w:rFonts w:ascii="Times New Roman" w:hAnsi="Times New Roman" w:cs="Times New Roman"/>
        </w:rPr>
        <w:t xml:space="preserve"> </w:t>
      </w:r>
      <w:r w:rsidRPr="00371B2F">
        <w:rPr>
          <w:rFonts w:ascii="Times New Roman" w:hAnsi="Times New Roman" w:cs="Times New Roman"/>
        </w:rPr>
        <w:t xml:space="preserve">with </w:t>
      </w:r>
      <w:r>
        <w:rPr>
          <w:rFonts w:ascii="Times New Roman" w:hAnsi="Times New Roman" w:cs="Times New Roman"/>
        </w:rPr>
        <w:t>a</w:t>
      </w:r>
      <w:r w:rsidRPr="00371B2F">
        <w:rPr>
          <w:rFonts w:ascii="Times New Roman" w:hAnsi="Times New Roman" w:cs="Times New Roman"/>
        </w:rPr>
        <w:t xml:space="preserve"> past legacy of mass atrocities and political violence.  </w:t>
      </w:r>
      <w:r>
        <w:rPr>
          <w:rFonts w:ascii="Times New Roman" w:hAnsi="Times New Roman" w:cs="Times New Roman"/>
        </w:rPr>
        <w:t>Scholarship on</w:t>
      </w:r>
      <w:r w:rsidRPr="00371B2F">
        <w:rPr>
          <w:rFonts w:ascii="Times New Roman" w:hAnsi="Times New Roman" w:cs="Times New Roman"/>
        </w:rPr>
        <w:t xml:space="preserve"> </w:t>
      </w:r>
      <w:r>
        <w:rPr>
          <w:rFonts w:ascii="Times New Roman" w:hAnsi="Times New Roman" w:cs="Times New Roman"/>
        </w:rPr>
        <w:t>T</w:t>
      </w:r>
      <w:r w:rsidRPr="00371B2F">
        <w:rPr>
          <w:rFonts w:ascii="Times New Roman" w:hAnsi="Times New Roman" w:cs="Times New Roman"/>
        </w:rPr>
        <w:t xml:space="preserve">ransitional </w:t>
      </w:r>
      <w:r>
        <w:rPr>
          <w:rFonts w:ascii="Times New Roman" w:hAnsi="Times New Roman" w:cs="Times New Roman"/>
        </w:rPr>
        <w:t>J</w:t>
      </w:r>
      <w:r w:rsidRPr="00371B2F">
        <w:rPr>
          <w:rFonts w:ascii="Times New Roman" w:hAnsi="Times New Roman" w:cs="Times New Roman"/>
        </w:rPr>
        <w:t>ustice deals with the manner in which a state</w:t>
      </w:r>
      <w:r>
        <w:rPr>
          <w:rFonts w:ascii="Times New Roman" w:hAnsi="Times New Roman" w:cs="Times New Roman"/>
        </w:rPr>
        <w:t xml:space="preserve"> or a society</w:t>
      </w:r>
      <w:r w:rsidRPr="00371B2F">
        <w:rPr>
          <w:rFonts w:ascii="Times New Roman" w:hAnsi="Times New Roman" w:cs="Times New Roman"/>
        </w:rPr>
        <w:t xml:space="preserve"> addresses a legacy of mass atrocities or long-standing human rights abuses.  The UN has adopted the following definition of the term:</w:t>
      </w:r>
    </w:p>
    <w:p w14:paraId="6F8F4876" w14:textId="77777777" w:rsidR="00786BCF" w:rsidRPr="00371B2F" w:rsidRDefault="00786BCF" w:rsidP="0030451D">
      <w:pPr>
        <w:pStyle w:val="NT-Blockquote"/>
        <w:rPr>
          <w:rFonts w:ascii="Times New Roman" w:hAnsi="Times New Roman" w:cs="Times New Roman"/>
          <w:b/>
          <w:bCs/>
        </w:rPr>
      </w:pPr>
      <w:r w:rsidRPr="00371B2F">
        <w:rPr>
          <w:rFonts w:ascii="Times New Roman" w:hAnsi="Times New Roman" w:cs="Times New Roman"/>
        </w:rPr>
        <w:t>The notion of transitional justice comprises...the full range of processes and mechanisms associated with a society’s attempts to come to terms with a legacy of large-scale past abuses, in order to ensure accountability, serve justice</w:t>
      </w:r>
      <w:r>
        <w:rPr>
          <w:rFonts w:ascii="Times New Roman" w:hAnsi="Times New Roman" w:cs="Times New Roman"/>
        </w:rPr>
        <w:t xml:space="preserve"> </w:t>
      </w:r>
      <w:r w:rsidRPr="00371B2F">
        <w:rPr>
          <w:rFonts w:ascii="Times New Roman" w:hAnsi="Times New Roman" w:cs="Times New Roman"/>
        </w:rPr>
        <w:t>and achieve reconciliation</w:t>
      </w:r>
      <w:r w:rsidRPr="00371B2F">
        <w:rPr>
          <w:rFonts w:ascii="Times New Roman" w:hAnsi="Times New Roman" w:cs="Times New Roman"/>
          <w:b/>
          <w:bCs/>
        </w:rPr>
        <w:t>.</w:t>
      </w:r>
      <w:r w:rsidRPr="00371B2F">
        <w:rPr>
          <w:rStyle w:val="FootnoteReference"/>
          <w:rFonts w:cs="TimesPP"/>
        </w:rPr>
        <w:footnoteReference w:id="9"/>
      </w:r>
    </w:p>
    <w:p w14:paraId="66DBBAF8" w14:textId="77777777" w:rsidR="00786BCF" w:rsidRPr="00DF3229" w:rsidRDefault="00786BCF" w:rsidP="001F3A37">
      <w:pPr>
        <w:spacing w:line="360" w:lineRule="auto"/>
        <w:jc w:val="both"/>
        <w:rPr>
          <w:lang w:val="en-US"/>
        </w:rPr>
      </w:pPr>
    </w:p>
    <w:p w14:paraId="16A0AFB6" w14:textId="77777777" w:rsidR="00786BCF" w:rsidRPr="00DF3229" w:rsidRDefault="00786BCF" w:rsidP="001F3A37">
      <w:pPr>
        <w:spacing w:line="360" w:lineRule="auto"/>
        <w:jc w:val="both"/>
        <w:rPr>
          <w:rStyle w:val="IntenseReference"/>
          <w:lang w:val="en-US"/>
        </w:rPr>
      </w:pPr>
      <w:r w:rsidRPr="00DF3229">
        <w:rPr>
          <w:lang w:val="en-US"/>
        </w:rPr>
        <w:t xml:space="preserve">Transitional </w:t>
      </w:r>
      <w:r w:rsidRPr="00366D7D">
        <w:rPr>
          <w:lang w:val="en-US"/>
        </w:rPr>
        <w:t>Justice does</w:t>
      </w:r>
      <w:r w:rsidRPr="00DF3229">
        <w:rPr>
          <w:lang w:val="en-US"/>
        </w:rPr>
        <w:t xml:space="preserve"> not look exclusively to criminal justice</w:t>
      </w:r>
      <w:r>
        <w:rPr>
          <w:lang w:val="en-US"/>
        </w:rPr>
        <w:t xml:space="preserve"> or retributive justice, </w:t>
      </w:r>
      <w:r w:rsidRPr="00DF3229">
        <w:rPr>
          <w:lang w:val="en-US"/>
        </w:rPr>
        <w:t>but identifies several other justice concepts</w:t>
      </w:r>
      <w:r>
        <w:rPr>
          <w:lang w:val="en-US"/>
        </w:rPr>
        <w:t xml:space="preserve">, as for example restorative justice, </w:t>
      </w:r>
      <w:r w:rsidRPr="00DF3229">
        <w:rPr>
          <w:lang w:val="en-US"/>
        </w:rPr>
        <w:t>historical justice, reparatory justice, administrative justice and constitutional justice.</w:t>
      </w:r>
    </w:p>
    <w:p w14:paraId="2D819702" w14:textId="77777777" w:rsidR="00786BCF" w:rsidRPr="001F3A37" w:rsidRDefault="00786BCF" w:rsidP="001F3A37">
      <w:pPr>
        <w:spacing w:line="360" w:lineRule="auto"/>
        <w:jc w:val="both"/>
        <w:rPr>
          <w:lang w:val="en-US"/>
        </w:rPr>
      </w:pPr>
      <w:bookmarkStart w:id="0" w:name="_GoBack"/>
    </w:p>
    <w:bookmarkEnd w:id="0"/>
    <w:p w14:paraId="5F8B02EA" w14:textId="77777777" w:rsidR="00786BCF" w:rsidRDefault="00786BCF" w:rsidP="001F3A37">
      <w:pPr>
        <w:spacing w:line="360" w:lineRule="auto"/>
        <w:jc w:val="both"/>
        <w:rPr>
          <w:lang w:val="en-GB"/>
        </w:rPr>
      </w:pPr>
      <w:r>
        <w:rPr>
          <w:lang w:val="en-GB"/>
        </w:rPr>
        <w:t>In practice, it is not always easy to distinguish between the concept</w:t>
      </w:r>
      <w:r w:rsidR="00490C1C">
        <w:rPr>
          <w:lang w:val="en-GB"/>
        </w:rPr>
        <w:t>s</w:t>
      </w:r>
      <w:r>
        <w:rPr>
          <w:lang w:val="en-GB"/>
        </w:rPr>
        <w:t xml:space="preserve"> of Reconciliation and Transitional Justice.  Both involve mechanisms being applied at individual, </w:t>
      </w:r>
      <w:proofErr w:type="gramStart"/>
      <w:r>
        <w:rPr>
          <w:lang w:val="en-GB"/>
        </w:rPr>
        <w:t>collective</w:t>
      </w:r>
      <w:proofErr w:type="gramEnd"/>
      <w:r>
        <w:rPr>
          <w:lang w:val="en-GB"/>
        </w:rPr>
        <w:t xml:space="preserve"> or state levels to deal with personal trauma, peace, justice, truth and forgiveness and mercy.</w:t>
      </w:r>
      <w:r>
        <w:rPr>
          <w:b/>
          <w:i/>
          <w:lang w:val="en-GB"/>
        </w:rPr>
        <w:t xml:space="preserve"> </w:t>
      </w:r>
    </w:p>
    <w:p w14:paraId="72FBA704" w14:textId="77777777" w:rsidR="00786BCF" w:rsidRDefault="00786BCF" w:rsidP="001F3A37">
      <w:pPr>
        <w:spacing w:line="360" w:lineRule="auto"/>
        <w:jc w:val="both"/>
        <w:rPr>
          <w:lang w:val="en-GB"/>
        </w:rPr>
      </w:pPr>
    </w:p>
    <w:p w14:paraId="3B4346C1" w14:textId="77777777" w:rsidR="00786BCF" w:rsidRDefault="00786BCF" w:rsidP="001F3A37">
      <w:pPr>
        <w:spacing w:line="360" w:lineRule="auto"/>
        <w:jc w:val="both"/>
        <w:rPr>
          <w:b/>
          <w:i/>
          <w:lang w:val="en-GB"/>
        </w:rPr>
      </w:pPr>
      <w:r>
        <w:rPr>
          <w:lang w:val="en-GB"/>
        </w:rPr>
        <w:t>A useful concept to consider is the deconstruction of Reconciliation into four constitutive elements, namely: Peace, Justice, Truth and Mercy.</w:t>
      </w:r>
      <w:r>
        <w:rPr>
          <w:b/>
          <w:i/>
          <w:lang w:val="en-GB"/>
        </w:rPr>
        <w:t xml:space="preserve"> </w:t>
      </w:r>
    </w:p>
    <w:p w14:paraId="1EFE2F29" w14:textId="77777777" w:rsidR="00786BCF" w:rsidRPr="00B90D18" w:rsidRDefault="00786BCF" w:rsidP="001F3A37">
      <w:pPr>
        <w:jc w:val="both"/>
        <w:rPr>
          <w:b/>
          <w:i/>
          <w:lang w:val="en-GB"/>
        </w:rPr>
      </w:pPr>
    </w:p>
    <w:p w14:paraId="1863F198" w14:textId="77777777" w:rsidR="00786BCF" w:rsidRDefault="00490C1C" w:rsidP="001F3A37">
      <w:pPr>
        <w:jc w:val="both"/>
        <w:rPr>
          <w:b/>
          <w:sz w:val="20"/>
          <w:szCs w:val="20"/>
          <w:lang w:val="en-US"/>
        </w:rPr>
      </w:pPr>
      <w:r>
        <w:rPr>
          <w:noProof/>
          <w:lang w:val="en-US" w:eastAsia="en-US"/>
        </w:rPr>
        <w:lastRenderedPageBreak/>
        <mc:AlternateContent>
          <mc:Choice Requires="wpg">
            <w:drawing>
              <wp:inline distT="0" distB="0" distL="0" distR="0" wp14:anchorId="65EA4673" wp14:editId="679D9080">
                <wp:extent cx="4579200" cy="3063600"/>
                <wp:effectExtent l="0" t="0" r="0" b="35560"/>
                <wp:docPr id="2" name="Canvas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9200" cy="3063600"/>
                          <a:chOff x="0" y="0"/>
                          <a:chExt cx="4997450" cy="2998470"/>
                        </a:xfrm>
                      </wpg:grpSpPr>
                      <wps:wsp>
                        <wps:cNvPr id="3" name="AutoShape 3"/>
                        <wps:cNvSpPr>
                          <a:spLocks noChangeAspect="1" noChangeArrowheads="1"/>
                        </wps:cNvSpPr>
                        <wps:spPr bwMode="auto">
                          <a:xfrm>
                            <a:off x="0" y="0"/>
                            <a:ext cx="4997450" cy="299847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4"/>
                        <wps:cNvSpPr>
                          <a:spLocks noChangeArrowheads="1"/>
                        </wps:cNvSpPr>
                        <wps:spPr bwMode="auto">
                          <a:xfrm>
                            <a:off x="40245" y="0"/>
                            <a:ext cx="2079799" cy="1354667"/>
                          </a:xfrm>
                          <a:prstGeom prst="ellipse">
                            <a:avLst/>
                          </a:prstGeom>
                          <a:solidFill>
                            <a:srgbClr val="FFFFFF"/>
                          </a:solidFill>
                          <a:ln w="9525">
                            <a:solidFill>
                              <a:srgbClr val="000000"/>
                            </a:solidFill>
                            <a:round/>
                            <a:headEnd/>
                            <a:tailEnd/>
                          </a:ln>
                        </wps:spPr>
                        <wps:txbx>
                          <w:txbxContent>
                            <w:p w14:paraId="2F5FEAB7" w14:textId="77777777" w:rsidR="002D6BB0" w:rsidRDefault="002D6BB0" w:rsidP="00390E14">
                              <w:pPr>
                                <w:jc w:val="center"/>
                                <w:rPr>
                                  <w:b/>
                                </w:rPr>
                              </w:pPr>
                              <w:proofErr w:type="spellStart"/>
                              <w:r>
                                <w:rPr>
                                  <w:b/>
                                </w:rPr>
                                <w:t>TRUTH</w:t>
                              </w:r>
                              <w:proofErr w:type="spellEnd"/>
                            </w:p>
                            <w:p w14:paraId="0DBC2C60" w14:textId="77777777" w:rsidR="002D6BB0" w:rsidRDefault="002D6BB0" w:rsidP="00390E14">
                              <w:pPr>
                                <w:jc w:val="center"/>
                              </w:pPr>
                              <w:proofErr w:type="spellStart"/>
                              <w:r>
                                <w:t>Acknowledgment</w:t>
                              </w:r>
                              <w:proofErr w:type="spellEnd"/>
                            </w:p>
                            <w:p w14:paraId="06FF13B4" w14:textId="77777777" w:rsidR="002D6BB0" w:rsidRDefault="002D6BB0" w:rsidP="00390E14">
                              <w:pPr>
                                <w:jc w:val="center"/>
                              </w:pPr>
                              <w:proofErr w:type="spellStart"/>
                              <w:r>
                                <w:t>Transparency</w:t>
                              </w:r>
                              <w:proofErr w:type="spellEnd"/>
                            </w:p>
                            <w:p w14:paraId="02A3960B" w14:textId="77777777" w:rsidR="002D6BB0" w:rsidRDefault="002D6BB0" w:rsidP="00390E14">
                              <w:pPr>
                                <w:jc w:val="center"/>
                              </w:pPr>
                              <w:proofErr w:type="spellStart"/>
                              <w:r>
                                <w:t>Revelation</w:t>
                              </w:r>
                              <w:proofErr w:type="spellEnd"/>
                            </w:p>
                            <w:p w14:paraId="58BFD992" w14:textId="77777777" w:rsidR="002D6BB0" w:rsidRPr="00B228CA" w:rsidRDefault="002D6BB0" w:rsidP="00390E14">
                              <w:pPr>
                                <w:jc w:val="center"/>
                              </w:pPr>
                              <w:proofErr w:type="spellStart"/>
                              <w:r>
                                <w:t>Clarity</w:t>
                              </w:r>
                              <w:proofErr w:type="spellEnd"/>
                            </w:p>
                          </w:txbxContent>
                        </wps:txbx>
                        <wps:bodyPr rot="0" vert="horz" wrap="square" lIns="79795" tIns="39895" rIns="79795" bIns="39895" anchor="t" anchorCtr="0" upright="1">
                          <a:noAutofit/>
                        </wps:bodyPr>
                      </wps:wsp>
                      <wps:wsp>
                        <wps:cNvPr id="5" name="Oval 5"/>
                        <wps:cNvSpPr>
                          <a:spLocks noChangeArrowheads="1"/>
                        </wps:cNvSpPr>
                        <wps:spPr bwMode="auto">
                          <a:xfrm>
                            <a:off x="1320195" y="1184893"/>
                            <a:ext cx="2567335" cy="596495"/>
                          </a:xfrm>
                          <a:prstGeom prst="ellipse">
                            <a:avLst/>
                          </a:prstGeom>
                          <a:solidFill>
                            <a:srgbClr val="FFFFFF"/>
                          </a:solidFill>
                          <a:ln w="9525">
                            <a:solidFill>
                              <a:srgbClr val="000000"/>
                            </a:solidFill>
                            <a:round/>
                            <a:headEnd/>
                            <a:tailEnd/>
                          </a:ln>
                        </wps:spPr>
                        <wps:txbx>
                          <w:txbxContent>
                            <w:p w14:paraId="5683BBD1" w14:textId="77777777" w:rsidR="002D6BB0" w:rsidRPr="009766BD" w:rsidRDefault="002D6BB0" w:rsidP="00390E14">
                              <w:pPr>
                                <w:rPr>
                                  <w:sz w:val="12"/>
                                </w:rPr>
                              </w:pPr>
                            </w:p>
                            <w:p w14:paraId="16C936F1" w14:textId="77777777" w:rsidR="002D6BB0" w:rsidRPr="009766BD" w:rsidRDefault="002D6BB0" w:rsidP="00390E14">
                              <w:pPr>
                                <w:rPr>
                                  <w:b/>
                                </w:rPr>
                              </w:pPr>
                              <w:proofErr w:type="spellStart"/>
                              <w:r>
                                <w:rPr>
                                  <w:b/>
                                </w:rPr>
                                <w:t>RECONCILIATION</w:t>
                              </w:r>
                              <w:proofErr w:type="spellEnd"/>
                            </w:p>
                          </w:txbxContent>
                        </wps:txbx>
                        <wps:bodyPr rot="0" vert="horz" wrap="square" lIns="79795" tIns="39895" rIns="79795" bIns="39895" anchor="t" anchorCtr="0" upright="1">
                          <a:noAutofit/>
                        </wps:bodyPr>
                      </wps:wsp>
                      <wps:wsp>
                        <wps:cNvPr id="6" name="Oval 6"/>
                        <wps:cNvSpPr>
                          <a:spLocks noChangeArrowheads="1"/>
                        </wps:cNvSpPr>
                        <wps:spPr bwMode="auto">
                          <a:xfrm>
                            <a:off x="3238986" y="99960"/>
                            <a:ext cx="1399440" cy="1299480"/>
                          </a:xfrm>
                          <a:prstGeom prst="ellipse">
                            <a:avLst/>
                          </a:prstGeom>
                          <a:solidFill>
                            <a:srgbClr val="FFFFFF"/>
                          </a:solidFill>
                          <a:ln w="9525">
                            <a:solidFill>
                              <a:srgbClr val="000000"/>
                            </a:solidFill>
                            <a:round/>
                            <a:headEnd/>
                            <a:tailEnd/>
                          </a:ln>
                        </wps:spPr>
                        <wps:txbx>
                          <w:txbxContent>
                            <w:p w14:paraId="7624CBA7" w14:textId="77777777" w:rsidR="002D6BB0" w:rsidRPr="009766BD" w:rsidRDefault="002D6BB0" w:rsidP="00390E14">
                              <w:pPr>
                                <w:jc w:val="center"/>
                                <w:rPr>
                                  <w:b/>
                                  <w:lang w:val="en-GB"/>
                                </w:rPr>
                              </w:pPr>
                              <w:r w:rsidRPr="009766BD">
                                <w:rPr>
                                  <w:b/>
                                  <w:lang w:val="en-GB"/>
                                </w:rPr>
                                <w:t>PEACE</w:t>
                              </w:r>
                            </w:p>
                            <w:p w14:paraId="7CA5ADAA" w14:textId="77777777" w:rsidR="002D6BB0" w:rsidRPr="009766BD" w:rsidRDefault="002D6BB0" w:rsidP="00390E14">
                              <w:pPr>
                                <w:jc w:val="center"/>
                                <w:rPr>
                                  <w:sz w:val="23"/>
                                  <w:szCs w:val="23"/>
                                  <w:lang w:val="en-GB"/>
                                </w:rPr>
                              </w:pPr>
                              <w:r w:rsidRPr="009766BD">
                                <w:rPr>
                                  <w:sz w:val="23"/>
                                  <w:szCs w:val="23"/>
                                  <w:lang w:val="en-GB"/>
                                </w:rPr>
                                <w:t>Security</w:t>
                              </w:r>
                            </w:p>
                            <w:p w14:paraId="7B045774" w14:textId="77777777" w:rsidR="002D6BB0" w:rsidRPr="009766BD" w:rsidRDefault="002D6BB0" w:rsidP="00390E14">
                              <w:pPr>
                                <w:jc w:val="center"/>
                                <w:rPr>
                                  <w:sz w:val="23"/>
                                  <w:szCs w:val="23"/>
                                  <w:lang w:val="en-GB"/>
                                </w:rPr>
                              </w:pPr>
                              <w:r w:rsidRPr="009766BD">
                                <w:rPr>
                                  <w:sz w:val="23"/>
                                  <w:szCs w:val="23"/>
                                  <w:lang w:val="en-GB"/>
                                </w:rPr>
                                <w:t>Respect</w:t>
                              </w:r>
                            </w:p>
                            <w:p w14:paraId="709BF15A" w14:textId="77777777" w:rsidR="002D6BB0" w:rsidRPr="009766BD" w:rsidRDefault="002D6BB0" w:rsidP="00390E14">
                              <w:pPr>
                                <w:jc w:val="center"/>
                                <w:rPr>
                                  <w:sz w:val="23"/>
                                  <w:szCs w:val="23"/>
                                  <w:lang w:val="en-GB"/>
                                </w:rPr>
                              </w:pPr>
                              <w:r w:rsidRPr="009766BD">
                                <w:rPr>
                                  <w:sz w:val="23"/>
                                  <w:szCs w:val="23"/>
                                  <w:lang w:val="en-GB"/>
                                </w:rPr>
                                <w:t>Well-being</w:t>
                              </w:r>
                            </w:p>
                            <w:p w14:paraId="2986FF69" w14:textId="77777777" w:rsidR="002D6BB0" w:rsidRPr="009766BD" w:rsidRDefault="002D6BB0" w:rsidP="00390E14">
                              <w:pPr>
                                <w:jc w:val="center"/>
                                <w:rPr>
                                  <w:sz w:val="23"/>
                                  <w:szCs w:val="23"/>
                                  <w:lang w:val="en-GB"/>
                                </w:rPr>
                              </w:pPr>
                              <w:r w:rsidRPr="009766BD">
                                <w:rPr>
                                  <w:sz w:val="23"/>
                                  <w:szCs w:val="23"/>
                                  <w:lang w:val="en-GB"/>
                                </w:rPr>
                                <w:t>Harmony</w:t>
                              </w:r>
                            </w:p>
                            <w:p w14:paraId="3B012068" w14:textId="77777777" w:rsidR="002D6BB0" w:rsidRPr="009766BD" w:rsidRDefault="002D6BB0" w:rsidP="00390E14">
                              <w:pPr>
                                <w:jc w:val="center"/>
                                <w:rPr>
                                  <w:sz w:val="23"/>
                                  <w:szCs w:val="23"/>
                                  <w:lang w:val="en-GB"/>
                                </w:rPr>
                              </w:pPr>
                              <w:r w:rsidRPr="009766BD">
                                <w:rPr>
                                  <w:sz w:val="23"/>
                                  <w:szCs w:val="23"/>
                                  <w:lang w:val="en-GB"/>
                                </w:rPr>
                                <w:t>Unity</w:t>
                              </w:r>
                            </w:p>
                          </w:txbxContent>
                        </wps:txbx>
                        <wps:bodyPr rot="0" vert="horz" wrap="square" lIns="79795" tIns="39895" rIns="79795" bIns="39895" anchor="t" anchorCtr="0" upright="1">
                          <a:noAutofit/>
                        </wps:bodyPr>
                      </wps:wsp>
                      <wps:wsp>
                        <wps:cNvPr id="7" name="Line 7"/>
                        <wps:cNvCnPr/>
                        <wps:spPr bwMode="auto">
                          <a:xfrm flipV="1">
                            <a:off x="1339746" y="1599360"/>
                            <a:ext cx="199920" cy="199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flipH="1">
                            <a:off x="3238986" y="1199520"/>
                            <a:ext cx="199920" cy="199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wps:spPr bwMode="auto">
                          <a:xfrm flipH="1" flipV="1">
                            <a:off x="3238986" y="1499400"/>
                            <a:ext cx="299880" cy="29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wps:spPr bwMode="auto">
                          <a:xfrm>
                            <a:off x="1339746" y="999600"/>
                            <a:ext cx="299880" cy="29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Oval 11"/>
                        <wps:cNvSpPr>
                          <a:spLocks noChangeArrowheads="1"/>
                        </wps:cNvSpPr>
                        <wps:spPr bwMode="auto">
                          <a:xfrm>
                            <a:off x="40254" y="1449494"/>
                            <a:ext cx="1699320" cy="1548317"/>
                          </a:xfrm>
                          <a:prstGeom prst="ellipse">
                            <a:avLst/>
                          </a:prstGeom>
                          <a:solidFill>
                            <a:srgbClr val="FFFFFF"/>
                          </a:solidFill>
                          <a:ln w="9525">
                            <a:solidFill>
                              <a:srgbClr val="000000"/>
                            </a:solidFill>
                            <a:round/>
                            <a:headEnd/>
                            <a:tailEnd/>
                          </a:ln>
                        </wps:spPr>
                        <wps:txbx>
                          <w:txbxContent>
                            <w:p w14:paraId="36A8AA99" w14:textId="77777777" w:rsidR="002D6BB0" w:rsidRPr="009766BD" w:rsidRDefault="002D6BB0" w:rsidP="00390E14">
                              <w:pPr>
                                <w:jc w:val="center"/>
                                <w:rPr>
                                  <w:b/>
                                  <w:lang w:val="en-GB"/>
                                </w:rPr>
                              </w:pPr>
                              <w:r w:rsidRPr="009766BD">
                                <w:rPr>
                                  <w:b/>
                                  <w:lang w:val="en-GB"/>
                                </w:rPr>
                                <w:t>JUSTICE</w:t>
                              </w:r>
                            </w:p>
                            <w:p w14:paraId="7FA57603" w14:textId="77777777" w:rsidR="002D6BB0" w:rsidRPr="009766BD" w:rsidRDefault="002D6BB0" w:rsidP="00390E14">
                              <w:pPr>
                                <w:jc w:val="center"/>
                                <w:rPr>
                                  <w:sz w:val="23"/>
                                  <w:szCs w:val="23"/>
                                  <w:lang w:val="en-GB"/>
                                </w:rPr>
                              </w:pPr>
                              <w:r w:rsidRPr="009766BD">
                                <w:rPr>
                                  <w:sz w:val="23"/>
                                  <w:szCs w:val="23"/>
                                  <w:lang w:val="en-GB"/>
                                </w:rPr>
                                <w:t>Equality</w:t>
                              </w:r>
                            </w:p>
                            <w:p w14:paraId="09AD4768" w14:textId="77777777" w:rsidR="002D6BB0" w:rsidRPr="009766BD" w:rsidRDefault="002D6BB0" w:rsidP="00390E14">
                              <w:pPr>
                                <w:jc w:val="center"/>
                                <w:rPr>
                                  <w:sz w:val="23"/>
                                  <w:szCs w:val="23"/>
                                  <w:lang w:val="en-GB"/>
                                </w:rPr>
                              </w:pPr>
                              <w:r w:rsidRPr="009766BD">
                                <w:rPr>
                                  <w:sz w:val="23"/>
                                  <w:szCs w:val="23"/>
                                  <w:lang w:val="en-GB"/>
                                </w:rPr>
                                <w:t>Right relationships</w:t>
                              </w:r>
                            </w:p>
                            <w:p w14:paraId="57990D10" w14:textId="77777777" w:rsidR="002D6BB0" w:rsidRDefault="002D6BB0" w:rsidP="00390E14">
                              <w:pPr>
                                <w:jc w:val="center"/>
                                <w:rPr>
                                  <w:lang w:val="en-GB"/>
                                </w:rPr>
                              </w:pPr>
                              <w:r>
                                <w:rPr>
                                  <w:lang w:val="en-GB"/>
                                </w:rPr>
                                <w:t xml:space="preserve">Making things right </w:t>
                              </w:r>
                            </w:p>
                            <w:p w14:paraId="25970611" w14:textId="77777777" w:rsidR="002D6BB0" w:rsidRPr="009766BD" w:rsidRDefault="002D6BB0" w:rsidP="00390E14">
                              <w:pPr>
                                <w:jc w:val="center"/>
                                <w:rPr>
                                  <w:lang w:val="en-GB"/>
                                </w:rPr>
                              </w:pPr>
                              <w:r>
                                <w:rPr>
                                  <w:lang w:val="en-GB"/>
                                </w:rPr>
                                <w:t>Restitution</w:t>
                              </w:r>
                            </w:p>
                          </w:txbxContent>
                        </wps:txbx>
                        <wps:bodyPr rot="0" vert="horz" wrap="square" lIns="79795" tIns="39895" rIns="79795" bIns="39895" anchor="t" anchorCtr="0" upright="1">
                          <a:noAutofit/>
                        </wps:bodyPr>
                      </wps:wsp>
                      <wps:wsp>
                        <wps:cNvPr id="12" name="Oval 12"/>
                        <wps:cNvSpPr>
                          <a:spLocks noChangeArrowheads="1"/>
                        </wps:cNvSpPr>
                        <wps:spPr bwMode="auto">
                          <a:xfrm>
                            <a:off x="3391692" y="1599360"/>
                            <a:ext cx="1399440" cy="1399440"/>
                          </a:xfrm>
                          <a:prstGeom prst="ellipse">
                            <a:avLst/>
                          </a:prstGeom>
                          <a:solidFill>
                            <a:srgbClr val="FFFFFF"/>
                          </a:solidFill>
                          <a:ln w="9525">
                            <a:solidFill>
                              <a:srgbClr val="000000"/>
                            </a:solidFill>
                            <a:round/>
                            <a:headEnd/>
                            <a:tailEnd/>
                          </a:ln>
                        </wps:spPr>
                        <wps:txbx>
                          <w:txbxContent>
                            <w:p w14:paraId="31C61D6D" w14:textId="77777777" w:rsidR="002D6BB0" w:rsidRDefault="002D6BB0" w:rsidP="00390E14">
                              <w:pPr>
                                <w:pStyle w:val="NormalWeb"/>
                                <w:spacing w:before="0" w:beforeAutospacing="0" w:after="0" w:afterAutospacing="0"/>
                                <w:jc w:val="center"/>
                              </w:pPr>
                              <w:r>
                                <w:rPr>
                                  <w:rFonts w:ascii="Times New Roman" w:hAnsi="Times New Roman"/>
                                  <w:b/>
                                  <w:bCs/>
                                  <w:sz w:val="24"/>
                                  <w:szCs w:val="24"/>
                                </w:rPr>
                                <w:t>MERCY</w:t>
                              </w:r>
                            </w:p>
                            <w:p w14:paraId="1863A329" w14:textId="77777777" w:rsidR="002D6BB0" w:rsidRDefault="002D6BB0" w:rsidP="00390E14">
                              <w:pPr>
                                <w:pStyle w:val="NormalWeb"/>
                                <w:spacing w:before="0" w:beforeAutospacing="0" w:after="0" w:afterAutospacing="0"/>
                                <w:jc w:val="center"/>
                              </w:pPr>
                              <w:r>
                                <w:rPr>
                                  <w:rFonts w:ascii="Times New Roman" w:hAnsi="Times New Roman"/>
                                  <w:sz w:val="24"/>
                                  <w:szCs w:val="24"/>
                                </w:rPr>
                                <w:t xml:space="preserve">Acceptance </w:t>
                              </w:r>
                            </w:p>
                            <w:p w14:paraId="41771717" w14:textId="77777777" w:rsidR="002D6BB0" w:rsidRDefault="002D6BB0" w:rsidP="00390E14">
                              <w:pPr>
                                <w:pStyle w:val="NormalWeb"/>
                                <w:spacing w:before="0" w:beforeAutospacing="0" w:after="0" w:afterAutospacing="0"/>
                                <w:jc w:val="center"/>
                              </w:pPr>
                              <w:r>
                                <w:rPr>
                                  <w:rFonts w:ascii="Times New Roman" w:hAnsi="Times New Roman"/>
                                  <w:sz w:val="24"/>
                                  <w:szCs w:val="24"/>
                                </w:rPr>
                                <w:t>Forgiveness</w:t>
                              </w:r>
                            </w:p>
                            <w:p w14:paraId="10BD93DE" w14:textId="77777777" w:rsidR="002D6BB0" w:rsidRDefault="002D6BB0" w:rsidP="00390E14">
                              <w:pPr>
                                <w:pStyle w:val="NormalWeb"/>
                                <w:spacing w:before="0" w:beforeAutospacing="0" w:after="0" w:afterAutospacing="0"/>
                                <w:jc w:val="center"/>
                              </w:pPr>
                              <w:r>
                                <w:rPr>
                                  <w:rFonts w:ascii="Times New Roman" w:hAnsi="Times New Roman"/>
                                  <w:sz w:val="24"/>
                                  <w:szCs w:val="24"/>
                                </w:rPr>
                                <w:t>Support</w:t>
                              </w:r>
                            </w:p>
                            <w:p w14:paraId="53DE5C33" w14:textId="77777777" w:rsidR="002D6BB0" w:rsidRDefault="002D6BB0" w:rsidP="00390E14">
                              <w:pPr>
                                <w:pStyle w:val="NormalWeb"/>
                                <w:spacing w:before="0" w:beforeAutospacing="0" w:after="0" w:afterAutospacing="0"/>
                                <w:jc w:val="center"/>
                              </w:pPr>
                              <w:r>
                                <w:rPr>
                                  <w:rFonts w:ascii="Times New Roman" w:hAnsi="Times New Roman"/>
                                  <w:sz w:val="24"/>
                                  <w:szCs w:val="24"/>
                                </w:rPr>
                                <w:t>Compassion</w:t>
                              </w:r>
                            </w:p>
                            <w:p w14:paraId="14840558" w14:textId="77777777" w:rsidR="002D6BB0" w:rsidRDefault="002D6BB0" w:rsidP="00390E14">
                              <w:pPr>
                                <w:pStyle w:val="NormalWeb"/>
                                <w:spacing w:before="0" w:beforeAutospacing="0" w:after="0" w:afterAutospacing="0"/>
                                <w:jc w:val="center"/>
                              </w:pPr>
                              <w:r>
                                <w:rPr>
                                  <w:rFonts w:ascii="Times New Roman" w:hAnsi="Times New Roman"/>
                                  <w:sz w:val="24"/>
                                  <w:szCs w:val="24"/>
                                </w:rPr>
                                <w:t>Healing</w:t>
                              </w:r>
                            </w:p>
                            <w:p w14:paraId="27CDBB44" w14:textId="77777777" w:rsidR="002D6BB0" w:rsidRDefault="002D6BB0" w:rsidP="00390E14">
                              <w:pPr>
                                <w:pStyle w:val="NormalWeb"/>
                                <w:spacing w:before="0" w:beforeAutospacing="0" w:after="0" w:afterAutospacing="0"/>
                                <w:jc w:val="center"/>
                              </w:pPr>
                              <w:r>
                                <w:rPr>
                                  <w:rFonts w:ascii="Times New Roman" w:hAnsi="Times New Roman"/>
                                  <w:sz w:val="24"/>
                                  <w:szCs w:val="24"/>
                                </w:rPr>
                                <w:t> </w:t>
                              </w:r>
                            </w:p>
                          </w:txbxContent>
                        </wps:txbx>
                        <wps:bodyPr rot="0" vert="horz" wrap="square" lIns="79795" tIns="39895" rIns="79795" bIns="39895" anchor="t" anchorCtr="0" upright="1">
                          <a:noAutofit/>
                        </wps:bodyPr>
                      </wps:wsp>
                    </wpg:wgp>
                  </a:graphicData>
                </a:graphic>
              </wp:inline>
            </w:drawing>
          </mc:Choice>
          <mc:Fallback>
            <w:pict>
              <v:group id="Canvas 10" o:spid="_x0000_s1026" style="width:360.55pt;height:241.25pt;mso-position-horizontal-relative:char;mso-position-vertical-relative:line" coordsize="4997450,29984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">
                <v:rect id="AutoShape 3" o:spid="_x0000_s1027" style="position:absolute;width:4997450;height:2998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v:rect>
                <v:oval id="Oval 4" o:spid="_x0000_s1028" style="position:absolute;left:40245;width:2079799;height:1354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MQaGwgAA&#10;ANoAAAAPAAAAZHJzL2Rvd25yZXYueG1sRI/Ni8IwFMTvgv9DeII3m/q1LNUoiyAreLLuZW+P5vUD&#10;m5fSRBv/eyMs7HGYmd8w230wrXhQ7xrLCuZJCoK4sLrhSsHP9Tj7BOE8ssbWMil4koP9bjzaYqbt&#10;wBd65L4SEcIuQwW1910mpStqMugS2xFHr7S9QR9lX0nd4xDhppWLNP2QBhuOCzV2dKipuOV3o8Cd&#10;Q3Nv83wIy8VtdT4efsvye63UdBK+NiA8Bf8f/muftIIVvK/EGyB3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xBobCAAAA2gAAAA8AAAAAAAAAAAAAAAAAlwIAAGRycy9kb3du&#10;cmV2LnhtbFBLBQYAAAAABAAEAPUAAACGAwAAAAA=&#10;">
                  <v:textbox inset="79795emu,39895emu,79795emu,39895emu">
                    <w:txbxContent>
                      <w:p w14:paraId="2F5FEAB7" w14:textId="77777777" w:rsidR="005D4D4F" w:rsidRDefault="005D4D4F" w:rsidP="00390E14">
                        <w:pPr>
                          <w:jc w:val="center"/>
                          <w:rPr>
                            <w:b/>
                          </w:rPr>
                        </w:pPr>
                        <w:proofErr w:type="spellStart"/>
                        <w:r>
                          <w:rPr>
                            <w:b/>
                          </w:rPr>
                          <w:t>TRUTH</w:t>
                        </w:r>
                        <w:proofErr w:type="spellEnd"/>
                      </w:p>
                      <w:p w14:paraId="0DBC2C60" w14:textId="77777777" w:rsidR="005D4D4F" w:rsidRDefault="005D4D4F" w:rsidP="00390E14">
                        <w:pPr>
                          <w:jc w:val="center"/>
                        </w:pPr>
                        <w:proofErr w:type="spellStart"/>
                        <w:r>
                          <w:t>Acknowledgment</w:t>
                        </w:r>
                        <w:proofErr w:type="spellEnd"/>
                      </w:p>
                      <w:p w14:paraId="06FF13B4" w14:textId="77777777" w:rsidR="005D4D4F" w:rsidRDefault="005D4D4F" w:rsidP="00390E14">
                        <w:pPr>
                          <w:jc w:val="center"/>
                        </w:pPr>
                        <w:proofErr w:type="spellStart"/>
                        <w:r>
                          <w:t>Transparency</w:t>
                        </w:r>
                        <w:proofErr w:type="spellEnd"/>
                      </w:p>
                      <w:p w14:paraId="02A3960B" w14:textId="77777777" w:rsidR="005D4D4F" w:rsidRDefault="005D4D4F" w:rsidP="00390E14">
                        <w:pPr>
                          <w:jc w:val="center"/>
                        </w:pPr>
                        <w:proofErr w:type="spellStart"/>
                        <w:r>
                          <w:t>Revelation</w:t>
                        </w:r>
                        <w:proofErr w:type="spellEnd"/>
                      </w:p>
                      <w:p w14:paraId="58BFD992" w14:textId="77777777" w:rsidR="005D4D4F" w:rsidRPr="00B228CA" w:rsidRDefault="005D4D4F" w:rsidP="00390E14">
                        <w:pPr>
                          <w:jc w:val="center"/>
                        </w:pPr>
                        <w:proofErr w:type="spellStart"/>
                        <w:r>
                          <w:t>Clarity</w:t>
                        </w:r>
                        <w:proofErr w:type="spellEnd"/>
                      </w:p>
                    </w:txbxContent>
                  </v:textbox>
                </v:oval>
                <v:oval id="Oval 5" o:spid="_x0000_s1029" style="position:absolute;left:1320195;top:1184893;width:2567335;height:5964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faMdwQAA&#10;ANoAAAAPAAAAZHJzL2Rvd25yZXYueG1sRI9Pi8IwFMTvC36H8ARva6quItUoIogLnqxevD2a1z/Y&#10;vJQm2vjtzcKCx2FmfsOst8E04kmdqy0rmIwTEMS51TWXCq6Xw/cShPPIGhvLpOBFDrabwdcaU217&#10;PtMz86WIEHYpKqi8b1MpXV6RQTe2LXH0CtsZ9FF2pdQd9hFuGjlNkoU0WHNcqLClfUX5PXsYBe4U&#10;6keTZX2YTe8/p8P+VhTHuVKjYditQHgK/hP+b/9qBXP4uxJvgNy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32jHcEAAADaAAAADwAAAAAAAAAAAAAAAACXAgAAZHJzL2Rvd25y&#10;ZXYueG1sUEsFBgAAAAAEAAQA9QAAAIUDAAAAAA==&#10;">
                  <v:textbox inset="79795emu,39895emu,79795emu,39895emu">
                    <w:txbxContent>
                      <w:p w14:paraId="5683BBD1" w14:textId="77777777" w:rsidR="005D4D4F" w:rsidRPr="009766BD" w:rsidRDefault="005D4D4F" w:rsidP="00390E14">
                        <w:pPr>
                          <w:rPr>
                            <w:sz w:val="12"/>
                          </w:rPr>
                        </w:pPr>
                      </w:p>
                      <w:p w14:paraId="16C936F1" w14:textId="77777777" w:rsidR="005D4D4F" w:rsidRPr="009766BD" w:rsidRDefault="005D4D4F" w:rsidP="00390E14">
                        <w:pPr>
                          <w:rPr>
                            <w:b/>
                          </w:rPr>
                        </w:pPr>
                        <w:proofErr w:type="spellStart"/>
                        <w:r>
                          <w:rPr>
                            <w:b/>
                          </w:rPr>
                          <w:t>RECONCILIATION</w:t>
                        </w:r>
                        <w:proofErr w:type="spellEnd"/>
                      </w:p>
                    </w:txbxContent>
                  </v:textbox>
                </v:oval>
                <v:oval id="Oval 6" o:spid="_x0000_s1030" style="position:absolute;left:3238986;top:99960;width:1399440;height:1299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rz1qwwAA&#10;ANoAAAAPAAAAZHJzL2Rvd25yZXYueG1sRI9Ba8JAFITvBf/D8gre6qa2FYmuIgFpwVOjF2+P7Euy&#10;mH0bshuz/vtuodDjMDPfMNt9tJ240+CNYwWviwwEceW04UbB5Xx8WYPwAVlj55gUPMjDfjd72mKu&#10;3cTfdC9DIxKEfY4K2hD6XEpftWTRL1xPnLzaDRZDkkMj9YBTgttOLrNsJS0aTgst9lS0VN3K0Srw&#10;p2jGriyn+La8vZ+OxbWuPz+Umj/HwwZEoBj+w3/tL61gBb9X0g2Qu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rz1qwwAAANoAAAAPAAAAAAAAAAAAAAAAAJcCAABkcnMvZG93&#10;bnJldi54bWxQSwUGAAAAAAQABAD1AAAAhwMAAAAA&#10;">
                  <v:textbox inset="79795emu,39895emu,79795emu,39895emu">
                    <w:txbxContent>
                      <w:p w14:paraId="7624CBA7" w14:textId="77777777" w:rsidR="005D4D4F" w:rsidRPr="009766BD" w:rsidRDefault="005D4D4F" w:rsidP="00390E14">
                        <w:pPr>
                          <w:jc w:val="center"/>
                          <w:rPr>
                            <w:b/>
                            <w:lang w:val="en-GB"/>
                          </w:rPr>
                        </w:pPr>
                        <w:r w:rsidRPr="009766BD">
                          <w:rPr>
                            <w:b/>
                            <w:lang w:val="en-GB"/>
                          </w:rPr>
                          <w:t>PEACE</w:t>
                        </w:r>
                      </w:p>
                      <w:p w14:paraId="7CA5ADAA" w14:textId="77777777" w:rsidR="005D4D4F" w:rsidRPr="009766BD" w:rsidRDefault="005D4D4F" w:rsidP="00390E14">
                        <w:pPr>
                          <w:jc w:val="center"/>
                          <w:rPr>
                            <w:sz w:val="23"/>
                            <w:szCs w:val="23"/>
                            <w:lang w:val="en-GB"/>
                          </w:rPr>
                        </w:pPr>
                        <w:r w:rsidRPr="009766BD">
                          <w:rPr>
                            <w:sz w:val="23"/>
                            <w:szCs w:val="23"/>
                            <w:lang w:val="en-GB"/>
                          </w:rPr>
                          <w:t>Security</w:t>
                        </w:r>
                      </w:p>
                      <w:p w14:paraId="7B045774" w14:textId="77777777" w:rsidR="005D4D4F" w:rsidRPr="009766BD" w:rsidRDefault="005D4D4F" w:rsidP="00390E14">
                        <w:pPr>
                          <w:jc w:val="center"/>
                          <w:rPr>
                            <w:sz w:val="23"/>
                            <w:szCs w:val="23"/>
                            <w:lang w:val="en-GB"/>
                          </w:rPr>
                        </w:pPr>
                        <w:r w:rsidRPr="009766BD">
                          <w:rPr>
                            <w:sz w:val="23"/>
                            <w:szCs w:val="23"/>
                            <w:lang w:val="en-GB"/>
                          </w:rPr>
                          <w:t>Respect</w:t>
                        </w:r>
                      </w:p>
                      <w:p w14:paraId="709BF15A" w14:textId="77777777" w:rsidR="005D4D4F" w:rsidRPr="009766BD" w:rsidRDefault="005D4D4F" w:rsidP="00390E14">
                        <w:pPr>
                          <w:jc w:val="center"/>
                          <w:rPr>
                            <w:sz w:val="23"/>
                            <w:szCs w:val="23"/>
                            <w:lang w:val="en-GB"/>
                          </w:rPr>
                        </w:pPr>
                        <w:r w:rsidRPr="009766BD">
                          <w:rPr>
                            <w:sz w:val="23"/>
                            <w:szCs w:val="23"/>
                            <w:lang w:val="en-GB"/>
                          </w:rPr>
                          <w:t>Well-being</w:t>
                        </w:r>
                      </w:p>
                      <w:p w14:paraId="2986FF69" w14:textId="77777777" w:rsidR="005D4D4F" w:rsidRPr="009766BD" w:rsidRDefault="005D4D4F" w:rsidP="00390E14">
                        <w:pPr>
                          <w:jc w:val="center"/>
                          <w:rPr>
                            <w:sz w:val="23"/>
                            <w:szCs w:val="23"/>
                            <w:lang w:val="en-GB"/>
                          </w:rPr>
                        </w:pPr>
                        <w:r w:rsidRPr="009766BD">
                          <w:rPr>
                            <w:sz w:val="23"/>
                            <w:szCs w:val="23"/>
                            <w:lang w:val="en-GB"/>
                          </w:rPr>
                          <w:t>Harmony</w:t>
                        </w:r>
                      </w:p>
                      <w:p w14:paraId="3B012068" w14:textId="77777777" w:rsidR="005D4D4F" w:rsidRPr="009766BD" w:rsidRDefault="005D4D4F" w:rsidP="00390E14">
                        <w:pPr>
                          <w:jc w:val="center"/>
                          <w:rPr>
                            <w:sz w:val="23"/>
                            <w:szCs w:val="23"/>
                            <w:lang w:val="en-GB"/>
                          </w:rPr>
                        </w:pPr>
                        <w:r w:rsidRPr="009766BD">
                          <w:rPr>
                            <w:sz w:val="23"/>
                            <w:szCs w:val="23"/>
                            <w:lang w:val="en-GB"/>
                          </w:rPr>
                          <w:t>Unity</w:t>
                        </w:r>
                      </w:p>
                    </w:txbxContent>
                  </v:textbox>
                </v:oval>
                <v:line id="Line 7" o:spid="_x0000_s1031" style="position:absolute;flip:y;visibility:visible;mso-wrap-style:square" from="1339746,1599360" to="1539666,1799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DtKVPAAAAA2gAAAA8AAAAAAAAAAAAAAAAA&#10;oQIAAGRycy9kb3ducmV2LnhtbFBLBQYAAAAABAAEAPkAAACOAwAAAAA=&#10;">
                  <v:stroke endarrow="block"/>
                </v:line>
                <v:line id="Line 8" o:spid="_x0000_s1032" style="position:absolute;flip:x;visibility:visible;mso-wrap-style:square" from="3238986,1199520" to="3438906,1399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FyvSHAAAAA2gAAAA8AAAAAAAAAAAAAAAAA&#10;oQIAAGRycy9kb3ducmV2LnhtbFBLBQYAAAAABAAEAPkAAACOAwAAAAA=&#10;">
                  <v:stroke endarrow="block"/>
                </v:line>
                <v:line id="Line 9" o:spid="_x0000_s1033" style="position:absolute;flip:x y;visibility:visible;mso-wrap-style:square" from="3238986,1499400" to="3538866,1799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uXQlsIAAADaAAAADwAAAAAAAAAAAAAA&#10;AAChAgAAZHJzL2Rvd25yZXYueG1sUEsFBgAAAAAEAAQA+QAAAJADAAAAAA==&#10;">
                  <v:stroke endarrow="block"/>
                </v:line>
                <v:line id="Line 10" o:spid="_x0000_s1034" style="position:absolute;visibility:visible;mso-wrap-style:square" from="1339746,999600" to="1639626,1299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rkIPMUAAADbAAAADwAAAAAAAAAA&#10;AAAAAAChAgAAZHJzL2Rvd25yZXYueG1sUEsFBgAAAAAEAAQA+QAAAJMDAAAAAA==&#10;">
                  <v:stroke endarrow="block"/>
                </v:line>
                <v:oval id="Oval 11" o:spid="_x0000_s1035" style="position:absolute;left:40254;top:1449494;width:1699320;height:15483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9DFowAAA&#10;ANsAAAAPAAAAZHJzL2Rvd25yZXYueG1sRE9Li8IwEL4L+x/CCHuzqa9lqUZZBFHwZN3L3oZm+sBm&#10;Uppos//eCIK3+fies94G04o79a6xrGCapCCIC6sbrhT8XvaTbxDOI2tsLZOCf3Kw3XyM1phpO/CZ&#10;7rmvRAxhl6GC2vsuk9IVNRl0ie2II1fa3qCPsK+k7nGI4aaVszT9kgYbjg01drSrqbjmN6PAnUJz&#10;a/N8CPPZdXHa7/7K8rBU6nMcflYgPAX/Fr/cRx3nT+H5SzxAb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9DFowAAAANsAAAAPAAAAAAAAAAAAAAAAAJcCAABkcnMvZG93bnJl&#10;di54bWxQSwUGAAAAAAQABAD1AAAAhAMAAAAA&#10;">
                  <v:textbox inset="79795emu,39895emu,79795emu,39895emu">
                    <w:txbxContent>
                      <w:p w14:paraId="36A8AA99" w14:textId="77777777" w:rsidR="005D4D4F" w:rsidRPr="009766BD" w:rsidRDefault="005D4D4F" w:rsidP="00390E14">
                        <w:pPr>
                          <w:jc w:val="center"/>
                          <w:rPr>
                            <w:b/>
                            <w:lang w:val="en-GB"/>
                          </w:rPr>
                        </w:pPr>
                        <w:r w:rsidRPr="009766BD">
                          <w:rPr>
                            <w:b/>
                            <w:lang w:val="en-GB"/>
                          </w:rPr>
                          <w:t>JUSTICE</w:t>
                        </w:r>
                      </w:p>
                      <w:p w14:paraId="7FA57603" w14:textId="77777777" w:rsidR="005D4D4F" w:rsidRPr="009766BD" w:rsidRDefault="005D4D4F" w:rsidP="00390E14">
                        <w:pPr>
                          <w:jc w:val="center"/>
                          <w:rPr>
                            <w:sz w:val="23"/>
                            <w:szCs w:val="23"/>
                            <w:lang w:val="en-GB"/>
                          </w:rPr>
                        </w:pPr>
                        <w:r w:rsidRPr="009766BD">
                          <w:rPr>
                            <w:sz w:val="23"/>
                            <w:szCs w:val="23"/>
                            <w:lang w:val="en-GB"/>
                          </w:rPr>
                          <w:t>Equality</w:t>
                        </w:r>
                      </w:p>
                      <w:p w14:paraId="09AD4768" w14:textId="77777777" w:rsidR="005D4D4F" w:rsidRPr="009766BD" w:rsidRDefault="005D4D4F" w:rsidP="00390E14">
                        <w:pPr>
                          <w:jc w:val="center"/>
                          <w:rPr>
                            <w:sz w:val="23"/>
                            <w:szCs w:val="23"/>
                            <w:lang w:val="en-GB"/>
                          </w:rPr>
                        </w:pPr>
                        <w:r w:rsidRPr="009766BD">
                          <w:rPr>
                            <w:sz w:val="23"/>
                            <w:szCs w:val="23"/>
                            <w:lang w:val="en-GB"/>
                          </w:rPr>
                          <w:t>Right relationships</w:t>
                        </w:r>
                      </w:p>
                      <w:p w14:paraId="57990D10" w14:textId="77777777" w:rsidR="005D4D4F" w:rsidRDefault="005D4D4F" w:rsidP="00390E14">
                        <w:pPr>
                          <w:jc w:val="center"/>
                          <w:rPr>
                            <w:lang w:val="en-GB"/>
                          </w:rPr>
                        </w:pPr>
                        <w:r>
                          <w:rPr>
                            <w:lang w:val="en-GB"/>
                          </w:rPr>
                          <w:t xml:space="preserve">Making things right </w:t>
                        </w:r>
                      </w:p>
                      <w:p w14:paraId="25970611" w14:textId="77777777" w:rsidR="005D4D4F" w:rsidRPr="009766BD" w:rsidRDefault="005D4D4F" w:rsidP="00390E14">
                        <w:pPr>
                          <w:jc w:val="center"/>
                          <w:rPr>
                            <w:lang w:val="en-GB"/>
                          </w:rPr>
                        </w:pPr>
                        <w:r>
                          <w:rPr>
                            <w:lang w:val="en-GB"/>
                          </w:rPr>
                          <w:t>Restitution</w:t>
                        </w:r>
                      </w:p>
                    </w:txbxContent>
                  </v:textbox>
                </v:oval>
                <v:oval id="Oval 12" o:spid="_x0000_s1036" style="position:absolute;left:3391692;top:1599360;width:1399440;height:1399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Jq8fwAAA&#10;ANsAAAAPAAAAZHJzL2Rvd25yZXYueG1sRE9Li8IwEL4L+x/CCHvT1KqLVKMsgih4snrZ29BMH9hM&#10;ShNt9t8bYWFv8/E9Z7MLphVP6l1jWcFsmoAgLqxuuFJwux4mKxDOI2tsLZOCX3Kw236MNphpO/CF&#10;nrmvRAxhl6GC2vsuk9IVNRl0U9sRR660vUEfYV9J3eMQw00r0yT5kgYbjg01drSvqbjnD6PAnUPz&#10;aPN8CPP0vjgf9j9leVwq9TkO32sQnoL/F/+5TzrOT+H9SzxAbl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Jq8fwAAAANsAAAAPAAAAAAAAAAAAAAAAAJcCAABkcnMvZG93bnJl&#10;di54bWxQSwUGAAAAAAQABAD1AAAAhAMAAAAA&#10;">
                  <v:textbox inset="79795emu,39895emu,79795emu,39895emu">
                    <w:txbxContent>
                      <w:p w14:paraId="31C61D6D" w14:textId="77777777" w:rsidR="005D4D4F" w:rsidRDefault="005D4D4F" w:rsidP="00390E14">
                        <w:pPr>
                          <w:pStyle w:val="NormalWeb"/>
                          <w:spacing w:before="0" w:beforeAutospacing="0" w:after="0" w:afterAutospacing="0"/>
                          <w:jc w:val="center"/>
                        </w:pPr>
                        <w:r>
                          <w:rPr>
                            <w:rFonts w:ascii="Times New Roman" w:hAnsi="Times New Roman"/>
                            <w:b/>
                            <w:bCs/>
                            <w:sz w:val="24"/>
                            <w:szCs w:val="24"/>
                          </w:rPr>
                          <w:t>MERCY</w:t>
                        </w:r>
                      </w:p>
                      <w:p w14:paraId="1863A329" w14:textId="77777777" w:rsidR="005D4D4F" w:rsidRDefault="005D4D4F" w:rsidP="00390E14">
                        <w:pPr>
                          <w:pStyle w:val="NormalWeb"/>
                          <w:spacing w:before="0" w:beforeAutospacing="0" w:after="0" w:afterAutospacing="0"/>
                          <w:jc w:val="center"/>
                        </w:pPr>
                        <w:r>
                          <w:rPr>
                            <w:rFonts w:ascii="Times New Roman" w:hAnsi="Times New Roman"/>
                            <w:sz w:val="24"/>
                            <w:szCs w:val="24"/>
                          </w:rPr>
                          <w:t xml:space="preserve">Acceptance </w:t>
                        </w:r>
                      </w:p>
                      <w:p w14:paraId="41771717" w14:textId="77777777" w:rsidR="005D4D4F" w:rsidRDefault="005D4D4F" w:rsidP="00390E14">
                        <w:pPr>
                          <w:pStyle w:val="NormalWeb"/>
                          <w:spacing w:before="0" w:beforeAutospacing="0" w:after="0" w:afterAutospacing="0"/>
                          <w:jc w:val="center"/>
                        </w:pPr>
                        <w:r>
                          <w:rPr>
                            <w:rFonts w:ascii="Times New Roman" w:hAnsi="Times New Roman"/>
                            <w:sz w:val="24"/>
                            <w:szCs w:val="24"/>
                          </w:rPr>
                          <w:t>Forgiveness</w:t>
                        </w:r>
                      </w:p>
                      <w:p w14:paraId="10BD93DE" w14:textId="77777777" w:rsidR="005D4D4F" w:rsidRDefault="005D4D4F" w:rsidP="00390E14">
                        <w:pPr>
                          <w:pStyle w:val="NormalWeb"/>
                          <w:spacing w:before="0" w:beforeAutospacing="0" w:after="0" w:afterAutospacing="0"/>
                          <w:jc w:val="center"/>
                        </w:pPr>
                        <w:r>
                          <w:rPr>
                            <w:rFonts w:ascii="Times New Roman" w:hAnsi="Times New Roman"/>
                            <w:sz w:val="24"/>
                            <w:szCs w:val="24"/>
                          </w:rPr>
                          <w:t>Support</w:t>
                        </w:r>
                      </w:p>
                      <w:p w14:paraId="53DE5C33" w14:textId="77777777" w:rsidR="005D4D4F" w:rsidRDefault="005D4D4F" w:rsidP="00390E14">
                        <w:pPr>
                          <w:pStyle w:val="NormalWeb"/>
                          <w:spacing w:before="0" w:beforeAutospacing="0" w:after="0" w:afterAutospacing="0"/>
                          <w:jc w:val="center"/>
                        </w:pPr>
                        <w:r>
                          <w:rPr>
                            <w:rFonts w:ascii="Times New Roman" w:hAnsi="Times New Roman"/>
                            <w:sz w:val="24"/>
                            <w:szCs w:val="24"/>
                          </w:rPr>
                          <w:t>Compassion</w:t>
                        </w:r>
                      </w:p>
                      <w:p w14:paraId="14840558" w14:textId="77777777" w:rsidR="005D4D4F" w:rsidRDefault="005D4D4F" w:rsidP="00390E14">
                        <w:pPr>
                          <w:pStyle w:val="NormalWeb"/>
                          <w:spacing w:before="0" w:beforeAutospacing="0" w:after="0" w:afterAutospacing="0"/>
                          <w:jc w:val="center"/>
                        </w:pPr>
                        <w:r>
                          <w:rPr>
                            <w:rFonts w:ascii="Times New Roman" w:hAnsi="Times New Roman"/>
                            <w:sz w:val="24"/>
                            <w:szCs w:val="24"/>
                          </w:rPr>
                          <w:t>Healing</w:t>
                        </w:r>
                      </w:p>
                      <w:p w14:paraId="27CDBB44" w14:textId="77777777" w:rsidR="005D4D4F" w:rsidRDefault="005D4D4F" w:rsidP="00390E14">
                        <w:pPr>
                          <w:pStyle w:val="NormalWeb"/>
                          <w:spacing w:before="0" w:beforeAutospacing="0" w:after="0" w:afterAutospacing="0"/>
                          <w:jc w:val="center"/>
                        </w:pPr>
                        <w:r>
                          <w:rPr>
                            <w:rFonts w:ascii="Times New Roman" w:hAnsi="Times New Roman"/>
                            <w:sz w:val="24"/>
                            <w:szCs w:val="24"/>
                          </w:rPr>
                          <w:t> </w:t>
                        </w:r>
                      </w:p>
                    </w:txbxContent>
                  </v:textbox>
                </v:oval>
                <w10:anchorlock/>
              </v:group>
            </w:pict>
          </mc:Fallback>
        </mc:AlternateContent>
      </w:r>
    </w:p>
    <w:p w14:paraId="4D380273" w14:textId="77777777" w:rsidR="00786BCF" w:rsidRDefault="00786BCF" w:rsidP="001F3A37">
      <w:pPr>
        <w:jc w:val="both"/>
        <w:rPr>
          <w:b/>
          <w:sz w:val="20"/>
          <w:szCs w:val="20"/>
          <w:lang w:val="en-US"/>
        </w:rPr>
      </w:pPr>
    </w:p>
    <w:p w14:paraId="78C2D263" w14:textId="77777777" w:rsidR="00786BCF" w:rsidRDefault="00786BCF" w:rsidP="001F3A37">
      <w:pPr>
        <w:jc w:val="both"/>
        <w:rPr>
          <w:b/>
          <w:sz w:val="20"/>
          <w:szCs w:val="20"/>
          <w:lang w:val="en-US"/>
        </w:rPr>
      </w:pPr>
    </w:p>
    <w:p w14:paraId="650E0D49" w14:textId="77777777" w:rsidR="00786BCF" w:rsidRDefault="00786BCF" w:rsidP="001F3A37">
      <w:pPr>
        <w:jc w:val="both"/>
        <w:rPr>
          <w:b/>
          <w:sz w:val="20"/>
          <w:szCs w:val="20"/>
          <w:lang w:val="en-US"/>
        </w:rPr>
      </w:pPr>
    </w:p>
    <w:p w14:paraId="672083F5" w14:textId="77777777" w:rsidR="00786BCF" w:rsidRDefault="00786BCF" w:rsidP="001F3A37">
      <w:pPr>
        <w:jc w:val="both"/>
        <w:rPr>
          <w:b/>
          <w:sz w:val="20"/>
          <w:szCs w:val="20"/>
          <w:lang w:val="en-US"/>
        </w:rPr>
      </w:pPr>
    </w:p>
    <w:p w14:paraId="6573310F" w14:textId="77777777" w:rsidR="00786BCF" w:rsidRDefault="00786BCF" w:rsidP="001F3A37">
      <w:pPr>
        <w:jc w:val="both"/>
        <w:rPr>
          <w:b/>
          <w:sz w:val="20"/>
          <w:szCs w:val="20"/>
          <w:lang w:val="en-US"/>
        </w:rPr>
      </w:pPr>
    </w:p>
    <w:p w14:paraId="0F2DEB3D" w14:textId="77777777" w:rsidR="00786BCF" w:rsidRDefault="00786BCF" w:rsidP="001F3A37">
      <w:pPr>
        <w:jc w:val="both"/>
        <w:rPr>
          <w:b/>
          <w:sz w:val="20"/>
          <w:szCs w:val="20"/>
          <w:lang w:val="en-US"/>
        </w:rPr>
      </w:pPr>
      <w:r>
        <w:rPr>
          <w:b/>
          <w:sz w:val="20"/>
          <w:szCs w:val="20"/>
          <w:lang w:val="en-US"/>
        </w:rPr>
        <w:t xml:space="preserve">Source: </w:t>
      </w:r>
      <w:proofErr w:type="spellStart"/>
      <w:r>
        <w:rPr>
          <w:b/>
          <w:sz w:val="20"/>
          <w:szCs w:val="20"/>
          <w:lang w:val="en-US"/>
        </w:rPr>
        <w:t>Lederach</w:t>
      </w:r>
      <w:proofErr w:type="spellEnd"/>
      <w:r>
        <w:rPr>
          <w:b/>
          <w:sz w:val="20"/>
          <w:szCs w:val="20"/>
          <w:lang w:val="en-US"/>
        </w:rPr>
        <w:t>, 1997, 30.</w:t>
      </w:r>
    </w:p>
    <w:p w14:paraId="6FA62E04" w14:textId="77777777" w:rsidR="00786BCF" w:rsidRDefault="00786BCF" w:rsidP="001F3A37">
      <w:pPr>
        <w:jc w:val="both"/>
        <w:rPr>
          <w:b/>
          <w:sz w:val="20"/>
          <w:szCs w:val="20"/>
          <w:lang w:val="en-US"/>
        </w:rPr>
      </w:pPr>
      <w:bookmarkStart w:id="1" w:name="_Toc188010235"/>
    </w:p>
    <w:p w14:paraId="55404BC2" w14:textId="77777777" w:rsidR="00786BCF" w:rsidRDefault="00786BCF" w:rsidP="0030451D">
      <w:pPr>
        <w:spacing w:line="360" w:lineRule="auto"/>
        <w:jc w:val="both"/>
        <w:rPr>
          <w:lang w:val="en-GB"/>
        </w:rPr>
      </w:pPr>
      <w:bookmarkStart w:id="2" w:name="_Toc188010236"/>
      <w:bookmarkEnd w:id="1"/>
    </w:p>
    <w:p w14:paraId="1EA73881" w14:textId="77777777" w:rsidR="00786BCF" w:rsidRPr="000A0B9D" w:rsidRDefault="00786BCF" w:rsidP="0030451D">
      <w:pPr>
        <w:spacing w:line="360" w:lineRule="auto"/>
        <w:jc w:val="both"/>
        <w:rPr>
          <w:lang w:val="en-GB"/>
        </w:rPr>
      </w:pPr>
      <w:r>
        <w:rPr>
          <w:lang w:val="en-GB"/>
        </w:rPr>
        <w:t xml:space="preserve">Explaining the meaning of Peace, </w:t>
      </w:r>
      <w:proofErr w:type="spellStart"/>
      <w:r>
        <w:rPr>
          <w:lang w:val="en-GB"/>
        </w:rPr>
        <w:t>Lederach</w:t>
      </w:r>
      <w:proofErr w:type="spellEnd"/>
      <w:r>
        <w:rPr>
          <w:lang w:val="en-GB"/>
        </w:rPr>
        <w:t xml:space="preserve"> stresses that it is about the need </w:t>
      </w:r>
      <w:r w:rsidRPr="000A0B9D">
        <w:rPr>
          <w:lang w:val="en-GB"/>
        </w:rPr>
        <w:t xml:space="preserve">for interdependence, </w:t>
      </w:r>
      <w:proofErr w:type="gramStart"/>
      <w:r w:rsidRPr="000A0B9D">
        <w:rPr>
          <w:lang w:val="en-GB"/>
        </w:rPr>
        <w:t>well-being</w:t>
      </w:r>
      <w:proofErr w:type="gramEnd"/>
      <w:r w:rsidRPr="000A0B9D">
        <w:rPr>
          <w:lang w:val="en-GB"/>
        </w:rPr>
        <w:t>, and security</w:t>
      </w:r>
      <w:r>
        <w:rPr>
          <w:lang w:val="en-GB"/>
        </w:rPr>
        <w:t>, as i</w:t>
      </w:r>
      <w:r w:rsidRPr="000A0B9D">
        <w:rPr>
          <w:lang w:val="en-GB"/>
        </w:rPr>
        <w:t>n a post conflict environment both parties lack trust, so the establishment of mutually accepted</w:t>
      </w:r>
      <w:r>
        <w:rPr>
          <w:lang w:val="en-GB"/>
        </w:rPr>
        <w:t>,</w:t>
      </w:r>
      <w:r w:rsidRPr="000A0B9D">
        <w:rPr>
          <w:lang w:val="en-GB"/>
        </w:rPr>
        <w:t xml:space="preserve"> str</w:t>
      </w:r>
      <w:r>
        <w:rPr>
          <w:lang w:val="en-GB"/>
        </w:rPr>
        <w:t xml:space="preserve">uctural mechanisms is required to </w:t>
      </w:r>
      <w:r w:rsidRPr="000A0B9D">
        <w:rPr>
          <w:lang w:val="en-GB"/>
        </w:rPr>
        <w:t xml:space="preserve">prevent </w:t>
      </w:r>
      <w:r>
        <w:rPr>
          <w:lang w:val="en-GB"/>
        </w:rPr>
        <w:t xml:space="preserve">recurrence of </w:t>
      </w:r>
      <w:r w:rsidRPr="000A0B9D">
        <w:rPr>
          <w:lang w:val="en-GB"/>
        </w:rPr>
        <w:t>violence.</w:t>
      </w:r>
      <w:r>
        <w:rPr>
          <w:rStyle w:val="FootnoteReference"/>
          <w:lang w:val="en-GB"/>
        </w:rPr>
        <w:footnoteReference w:id="10"/>
      </w:r>
      <w:r w:rsidRPr="000A0B9D">
        <w:rPr>
          <w:lang w:val="en-GB"/>
        </w:rPr>
        <w:t xml:space="preserve"> </w:t>
      </w:r>
      <w:r>
        <w:rPr>
          <w:lang w:val="en-GB"/>
        </w:rPr>
        <w:t xml:space="preserve"> </w:t>
      </w:r>
      <w:r w:rsidRPr="000A0B9D">
        <w:rPr>
          <w:lang w:val="en-GB"/>
        </w:rPr>
        <w:t>Those measures are, for example, demobili</w:t>
      </w:r>
      <w:r>
        <w:rPr>
          <w:lang w:val="en-GB"/>
        </w:rPr>
        <w:t>s</w:t>
      </w:r>
      <w:r w:rsidRPr="000A0B9D">
        <w:rPr>
          <w:lang w:val="en-GB"/>
        </w:rPr>
        <w:t>ation of military forces, disarmament and demilitari</w:t>
      </w:r>
      <w:r>
        <w:rPr>
          <w:lang w:val="en-GB"/>
        </w:rPr>
        <w:t>s</w:t>
      </w:r>
      <w:r w:rsidRPr="000A0B9D">
        <w:rPr>
          <w:lang w:val="en-GB"/>
        </w:rPr>
        <w:t>ation</w:t>
      </w:r>
      <w:r>
        <w:rPr>
          <w:lang w:val="en-GB"/>
        </w:rPr>
        <w:t xml:space="preserve">, which should contribute to mutual </w:t>
      </w:r>
      <w:r w:rsidRPr="000A0B9D">
        <w:rPr>
          <w:lang w:val="en-GB"/>
        </w:rPr>
        <w:t>trust and positive perceptions</w:t>
      </w:r>
      <w:r>
        <w:rPr>
          <w:lang w:val="en-GB"/>
        </w:rPr>
        <w:t xml:space="preserve"> of each other, and to a general sense of security.</w:t>
      </w:r>
      <w:r>
        <w:rPr>
          <w:rStyle w:val="FootnoteReference"/>
          <w:lang w:val="en-GB"/>
        </w:rPr>
        <w:footnoteReference w:id="11"/>
      </w:r>
      <w:r>
        <w:rPr>
          <w:lang w:val="en-GB"/>
        </w:rPr>
        <w:t xml:space="preserve"> </w:t>
      </w:r>
    </w:p>
    <w:p w14:paraId="102F7D57" w14:textId="77777777" w:rsidR="00786BCF" w:rsidRDefault="00786BCF" w:rsidP="0030451D">
      <w:pPr>
        <w:spacing w:line="360" w:lineRule="auto"/>
        <w:jc w:val="both"/>
        <w:rPr>
          <w:lang w:val="en-GB"/>
        </w:rPr>
      </w:pPr>
    </w:p>
    <w:p w14:paraId="08E8293B" w14:textId="77777777" w:rsidR="00786BCF" w:rsidRPr="000A0B9D" w:rsidRDefault="00786BCF" w:rsidP="0030451D">
      <w:pPr>
        <w:spacing w:line="360" w:lineRule="auto"/>
        <w:jc w:val="both"/>
        <w:rPr>
          <w:lang w:val="en-GB"/>
        </w:rPr>
      </w:pPr>
      <w:r w:rsidRPr="000A0B9D">
        <w:rPr>
          <w:lang w:val="en-GB"/>
        </w:rPr>
        <w:t>Demo</w:t>
      </w:r>
      <w:r>
        <w:rPr>
          <w:lang w:val="en-GB"/>
        </w:rPr>
        <w:t>cratisat</w:t>
      </w:r>
      <w:r w:rsidRPr="000A0B9D">
        <w:rPr>
          <w:lang w:val="en-GB"/>
        </w:rPr>
        <w:t xml:space="preserve">ion is </w:t>
      </w:r>
      <w:r>
        <w:rPr>
          <w:lang w:val="en-GB"/>
        </w:rPr>
        <w:t>nowadays regarded as a</w:t>
      </w:r>
      <w:r w:rsidRPr="000A0B9D">
        <w:rPr>
          <w:lang w:val="en-GB"/>
        </w:rPr>
        <w:t xml:space="preserve"> condition for </w:t>
      </w:r>
      <w:r>
        <w:rPr>
          <w:lang w:val="en-GB"/>
        </w:rPr>
        <w:t xml:space="preserve">a stable peace and includes, </w:t>
      </w:r>
      <w:r w:rsidRPr="00AB120F">
        <w:rPr>
          <w:i/>
          <w:lang w:val="en-GB"/>
        </w:rPr>
        <w:t>inter alia</w:t>
      </w:r>
      <w:r>
        <w:rPr>
          <w:lang w:val="en-GB"/>
        </w:rPr>
        <w:t xml:space="preserve">, protection of human rights, </w:t>
      </w:r>
      <w:r w:rsidRPr="000A0B9D">
        <w:rPr>
          <w:lang w:val="en-GB"/>
        </w:rPr>
        <w:t>the right to political organi</w:t>
      </w:r>
      <w:r>
        <w:rPr>
          <w:lang w:val="en-GB"/>
        </w:rPr>
        <w:t>s</w:t>
      </w:r>
      <w:r w:rsidRPr="000A0B9D">
        <w:rPr>
          <w:lang w:val="en-GB"/>
        </w:rPr>
        <w:t>ation and expression</w:t>
      </w:r>
      <w:r>
        <w:rPr>
          <w:lang w:val="en-GB"/>
        </w:rPr>
        <w:t xml:space="preserve">, and </w:t>
      </w:r>
      <w:r w:rsidRPr="000A0B9D">
        <w:rPr>
          <w:lang w:val="en-GB"/>
        </w:rPr>
        <w:t>the rule of law</w:t>
      </w:r>
      <w:proofErr w:type="gramStart"/>
      <w:r>
        <w:rPr>
          <w:lang w:val="en-GB"/>
        </w:rPr>
        <w:t>.</w:t>
      </w:r>
      <w:r w:rsidRPr="000A0B9D">
        <w:rPr>
          <w:lang w:val="en-GB"/>
        </w:rPr>
        <w:t xml:space="preserve"> </w:t>
      </w:r>
      <w:proofErr w:type="gramEnd"/>
      <w:r w:rsidRPr="000A0B9D">
        <w:rPr>
          <w:lang w:val="en-GB"/>
        </w:rPr>
        <w:t>In addition to demo</w:t>
      </w:r>
      <w:r>
        <w:rPr>
          <w:lang w:val="en-GB"/>
        </w:rPr>
        <w:t>cratisat</w:t>
      </w:r>
      <w:r w:rsidRPr="000A0B9D">
        <w:rPr>
          <w:lang w:val="en-GB"/>
        </w:rPr>
        <w:t>ion</w:t>
      </w:r>
      <w:r>
        <w:rPr>
          <w:lang w:val="en-GB"/>
        </w:rPr>
        <w:t xml:space="preserve">, </w:t>
      </w:r>
      <w:r w:rsidRPr="000A0B9D">
        <w:rPr>
          <w:lang w:val="en-GB"/>
        </w:rPr>
        <w:t xml:space="preserve">an improvement of the economic situation </w:t>
      </w:r>
      <w:r>
        <w:rPr>
          <w:lang w:val="en-GB"/>
        </w:rPr>
        <w:t xml:space="preserve">is considered as an important component </w:t>
      </w:r>
      <w:r w:rsidRPr="000A0B9D">
        <w:rPr>
          <w:lang w:val="en-GB"/>
        </w:rPr>
        <w:t xml:space="preserve">for reconciliation. </w:t>
      </w:r>
      <w:r>
        <w:rPr>
          <w:lang w:val="en-GB"/>
        </w:rPr>
        <w:t xml:space="preserve"> There is also an expectation that w</w:t>
      </w:r>
      <w:r w:rsidRPr="000A0B9D">
        <w:rPr>
          <w:lang w:val="en-GB"/>
        </w:rPr>
        <w:t xml:space="preserve">ith economic </w:t>
      </w:r>
      <w:r>
        <w:rPr>
          <w:lang w:val="en-GB"/>
        </w:rPr>
        <w:t xml:space="preserve">prosperity, </w:t>
      </w:r>
      <w:r w:rsidRPr="000A0B9D">
        <w:rPr>
          <w:lang w:val="en-GB"/>
        </w:rPr>
        <w:t>past discrimination and inequalities will disappear</w:t>
      </w:r>
      <w:r>
        <w:rPr>
          <w:lang w:val="en-GB"/>
        </w:rPr>
        <w:t>.</w:t>
      </w:r>
      <w:r>
        <w:rPr>
          <w:rStyle w:val="FootnoteReference"/>
          <w:lang w:val="en-GB"/>
        </w:rPr>
        <w:footnoteReference w:id="12"/>
      </w:r>
      <w:r w:rsidRPr="000A0B9D">
        <w:rPr>
          <w:lang w:val="en-GB"/>
        </w:rPr>
        <w:t xml:space="preserve"> </w:t>
      </w:r>
      <w:bookmarkEnd w:id="2"/>
    </w:p>
    <w:p w14:paraId="4D827FDE" w14:textId="77777777" w:rsidR="00786BCF" w:rsidRPr="00E70665" w:rsidRDefault="00786BCF" w:rsidP="0030451D">
      <w:pPr>
        <w:pStyle w:val="Heading3"/>
        <w:spacing w:line="360" w:lineRule="auto"/>
        <w:jc w:val="both"/>
        <w:rPr>
          <w:rFonts w:cs="Times New Roman"/>
          <w:b w:val="0"/>
          <w:i/>
          <w:lang w:val="en-GB"/>
        </w:rPr>
      </w:pPr>
      <w:bookmarkStart w:id="3" w:name="_Toc188010237"/>
      <w:r>
        <w:rPr>
          <w:rFonts w:cs="Times New Roman"/>
          <w:b w:val="0"/>
          <w:i/>
          <w:lang w:val="en-GB"/>
        </w:rPr>
        <w:lastRenderedPageBreak/>
        <w:t>Reconciliation through T</w:t>
      </w:r>
      <w:r w:rsidRPr="00E70665">
        <w:rPr>
          <w:rFonts w:cs="Times New Roman"/>
          <w:b w:val="0"/>
          <w:i/>
          <w:lang w:val="en-GB"/>
        </w:rPr>
        <w:t>ruth</w:t>
      </w:r>
      <w:bookmarkEnd w:id="3"/>
    </w:p>
    <w:p w14:paraId="227053C6" w14:textId="723CB70C" w:rsidR="00786BCF" w:rsidRPr="000A0B9D" w:rsidRDefault="00786BCF" w:rsidP="0030451D">
      <w:pPr>
        <w:spacing w:line="360" w:lineRule="auto"/>
        <w:jc w:val="both"/>
        <w:rPr>
          <w:lang w:val="en-GB"/>
        </w:rPr>
      </w:pPr>
      <w:r w:rsidRPr="000A0B9D">
        <w:rPr>
          <w:lang w:val="en-GB"/>
        </w:rPr>
        <w:t xml:space="preserve">Groups on both sides of </w:t>
      </w:r>
      <w:r>
        <w:rPr>
          <w:lang w:val="en-GB"/>
        </w:rPr>
        <w:t>a</w:t>
      </w:r>
      <w:r w:rsidRPr="000A0B9D">
        <w:rPr>
          <w:lang w:val="en-GB"/>
        </w:rPr>
        <w:t xml:space="preserve"> conflict have different experien</w:t>
      </w:r>
      <w:r w:rsidR="00F90161">
        <w:rPr>
          <w:lang w:val="en-GB"/>
        </w:rPr>
        <w:t>ces, feelings, and understanding</w:t>
      </w:r>
      <w:r w:rsidRPr="000A0B9D">
        <w:rPr>
          <w:lang w:val="en-GB"/>
        </w:rPr>
        <w:t xml:space="preserve"> about the conflict. </w:t>
      </w:r>
      <w:r w:rsidR="00F90161">
        <w:rPr>
          <w:lang w:val="en-GB"/>
        </w:rPr>
        <w:t xml:space="preserve"> </w:t>
      </w:r>
      <w:r>
        <w:rPr>
          <w:lang w:val="en-GB"/>
        </w:rPr>
        <w:t xml:space="preserve">It is only to be expected that victims will try to disclose the </w:t>
      </w:r>
      <w:r w:rsidRPr="000A0B9D">
        <w:rPr>
          <w:lang w:val="en-GB"/>
        </w:rPr>
        <w:t xml:space="preserve">truth about crimes known </w:t>
      </w:r>
      <w:r>
        <w:rPr>
          <w:lang w:val="en-GB"/>
        </w:rPr>
        <w:t>to</w:t>
      </w:r>
      <w:r w:rsidRPr="000A0B9D">
        <w:rPr>
          <w:lang w:val="en-GB"/>
        </w:rPr>
        <w:t xml:space="preserve"> </w:t>
      </w:r>
      <w:r>
        <w:rPr>
          <w:lang w:val="en-GB"/>
        </w:rPr>
        <w:t>them</w:t>
      </w:r>
      <w:r w:rsidRPr="000A0B9D">
        <w:rPr>
          <w:lang w:val="en-GB"/>
        </w:rPr>
        <w:t xml:space="preserve">, </w:t>
      </w:r>
      <w:r>
        <w:rPr>
          <w:lang w:val="en-GB"/>
        </w:rPr>
        <w:t xml:space="preserve">while the </w:t>
      </w:r>
      <w:r w:rsidRPr="000A0B9D">
        <w:rPr>
          <w:lang w:val="en-GB"/>
        </w:rPr>
        <w:t>perpetrators</w:t>
      </w:r>
      <w:r>
        <w:rPr>
          <w:lang w:val="en-GB"/>
        </w:rPr>
        <w:t xml:space="preserve"> will try to deny or obscure it</w:t>
      </w:r>
      <w:r w:rsidRPr="000A0B9D">
        <w:rPr>
          <w:lang w:val="en-GB"/>
        </w:rPr>
        <w:t xml:space="preserve">. </w:t>
      </w:r>
      <w:r>
        <w:rPr>
          <w:lang w:val="en-GB"/>
        </w:rPr>
        <w:t xml:space="preserve"> Competing and sometimes very contradictory narratives might work against reconciliation and even </w:t>
      </w:r>
      <w:r w:rsidRPr="000A0B9D">
        <w:rPr>
          <w:lang w:val="en-GB"/>
        </w:rPr>
        <w:t xml:space="preserve">fuel </w:t>
      </w:r>
      <w:r>
        <w:rPr>
          <w:lang w:val="en-GB"/>
        </w:rPr>
        <w:t>a new</w:t>
      </w:r>
      <w:r w:rsidRPr="000A0B9D">
        <w:rPr>
          <w:lang w:val="en-GB"/>
        </w:rPr>
        <w:t xml:space="preserve"> conflict</w:t>
      </w:r>
      <w:r>
        <w:rPr>
          <w:lang w:val="en-GB"/>
        </w:rPr>
        <w:t xml:space="preserve">. </w:t>
      </w:r>
      <w:r w:rsidR="00F90161">
        <w:rPr>
          <w:lang w:val="en-GB"/>
        </w:rPr>
        <w:t xml:space="preserve"> </w:t>
      </w:r>
      <w:r>
        <w:rPr>
          <w:lang w:val="en-GB"/>
        </w:rPr>
        <w:t>Yet in many post-conflict societies there would be at least two truths</w:t>
      </w:r>
      <w:r w:rsidR="00191E49">
        <w:rPr>
          <w:lang w:val="en-GB"/>
        </w:rPr>
        <w:t>,</w:t>
      </w:r>
      <w:r>
        <w:rPr>
          <w:lang w:val="en-GB"/>
        </w:rPr>
        <w:t xml:space="preserve"> which would find their way into collective memory and possibly in the history books.</w:t>
      </w:r>
      <w:r>
        <w:rPr>
          <w:rStyle w:val="FootnoteReference"/>
          <w:lang w:val="en-GB"/>
        </w:rPr>
        <w:footnoteReference w:id="13"/>
      </w:r>
      <w:r>
        <w:rPr>
          <w:lang w:val="en-GB"/>
        </w:rPr>
        <w:t xml:space="preserve">  This is </w:t>
      </w:r>
      <w:proofErr w:type="gramStart"/>
      <w:r>
        <w:rPr>
          <w:lang w:val="en-GB"/>
        </w:rPr>
        <w:t>why,</w:t>
      </w:r>
      <w:proofErr w:type="gramEnd"/>
      <w:r>
        <w:rPr>
          <w:lang w:val="en-GB"/>
        </w:rPr>
        <w:t xml:space="preserve"> in some conflict societies attempts were made to establish truth commissions, as in</w:t>
      </w:r>
      <w:r w:rsidRPr="000A0B9D">
        <w:rPr>
          <w:lang w:val="en-GB"/>
        </w:rPr>
        <w:t xml:space="preserve"> El Salv</w:t>
      </w:r>
      <w:r>
        <w:rPr>
          <w:lang w:val="en-GB"/>
        </w:rPr>
        <w:t>ador, Chile, Guatemala and</w:t>
      </w:r>
      <w:r w:rsidRPr="000A0B9D">
        <w:rPr>
          <w:lang w:val="en-GB"/>
        </w:rPr>
        <w:t xml:space="preserve"> in South Africa. </w:t>
      </w:r>
      <w:r>
        <w:rPr>
          <w:lang w:val="en-GB"/>
        </w:rPr>
        <w:t xml:space="preserve"> Although criticised for their potential to keep old wounds open for too long, those commissions represent noble and novel </w:t>
      </w:r>
      <w:r w:rsidRPr="000A0B9D">
        <w:rPr>
          <w:lang w:val="en-GB"/>
        </w:rPr>
        <w:t>attempt</w:t>
      </w:r>
      <w:r>
        <w:rPr>
          <w:lang w:val="en-GB"/>
        </w:rPr>
        <w:t>s</w:t>
      </w:r>
      <w:r w:rsidRPr="000A0B9D">
        <w:rPr>
          <w:lang w:val="en-GB"/>
        </w:rPr>
        <w:t xml:space="preserve"> </w:t>
      </w:r>
      <w:r>
        <w:rPr>
          <w:lang w:val="en-GB"/>
        </w:rPr>
        <w:t xml:space="preserve">to work on reconciliation in post-conflict societies where the number of perpetrators is so large that no criminal system would be able to process them.  It is certainly true for the members of the South African Apartheid state bureaucracy as well as for former Communist regimes. </w:t>
      </w:r>
      <w:r w:rsidR="00F90161">
        <w:rPr>
          <w:lang w:val="en-GB"/>
        </w:rPr>
        <w:t xml:space="preserve"> Truth commissions work only if they include the stories of victims and </w:t>
      </w:r>
      <w:r w:rsidR="00355DAF">
        <w:rPr>
          <w:lang w:val="en-GB"/>
        </w:rPr>
        <w:t xml:space="preserve">perpetrators.  </w:t>
      </w:r>
      <w:r w:rsidR="00355DAF" w:rsidRPr="00325ABB">
        <w:rPr>
          <w:lang w:val="en-GB"/>
        </w:rPr>
        <w:t xml:space="preserve">There is, of course, always a </w:t>
      </w:r>
      <w:r w:rsidR="00325ABB">
        <w:rPr>
          <w:lang w:val="en-GB"/>
        </w:rPr>
        <w:t xml:space="preserve">possibility </w:t>
      </w:r>
      <w:r w:rsidR="00355DAF" w:rsidRPr="00325ABB">
        <w:rPr>
          <w:lang w:val="en-GB"/>
        </w:rPr>
        <w:t xml:space="preserve">that perpetrators would not tell their full stories given the </w:t>
      </w:r>
      <w:r w:rsidR="00325ABB">
        <w:rPr>
          <w:lang w:val="en-GB"/>
        </w:rPr>
        <w:t xml:space="preserve">risk </w:t>
      </w:r>
      <w:r w:rsidR="00355DAF" w:rsidRPr="00325ABB">
        <w:rPr>
          <w:lang w:val="en-GB"/>
        </w:rPr>
        <w:t>- that existed in South Africa - of being their charged with</w:t>
      </w:r>
      <w:r w:rsidR="00325ABB" w:rsidRPr="00325ABB">
        <w:rPr>
          <w:lang w:val="en-GB"/>
        </w:rPr>
        <w:t xml:space="preserve"> crimes to which they had effectively</w:t>
      </w:r>
      <w:r w:rsidR="00355DAF" w:rsidRPr="00325ABB">
        <w:rPr>
          <w:lang w:val="en-GB"/>
        </w:rPr>
        <w:t xml:space="preserve"> confessed.  Yet, even if incomplete, the stories of perpetrators </w:t>
      </w:r>
      <w:r w:rsidR="00325ABB" w:rsidRPr="00325ABB">
        <w:rPr>
          <w:lang w:val="en-GB"/>
        </w:rPr>
        <w:t>–</w:t>
      </w:r>
      <w:r w:rsidR="00325ABB">
        <w:rPr>
          <w:lang w:val="en-GB"/>
        </w:rPr>
        <w:t xml:space="preserve"> </w:t>
      </w:r>
      <w:r w:rsidR="00325ABB" w:rsidRPr="00325ABB">
        <w:rPr>
          <w:lang w:val="en-GB"/>
        </w:rPr>
        <w:t xml:space="preserve">typically missing from historical or other accounts of conflicts - add substantially to </w:t>
      </w:r>
      <w:r w:rsidR="00355DAF" w:rsidRPr="00325ABB">
        <w:rPr>
          <w:lang w:val="en-GB"/>
        </w:rPr>
        <w:t>conflict narratives.</w:t>
      </w:r>
      <w:r w:rsidR="00355DAF">
        <w:rPr>
          <w:lang w:val="en-GB"/>
        </w:rPr>
        <w:t xml:space="preserve"> </w:t>
      </w:r>
    </w:p>
    <w:p w14:paraId="28B12E58" w14:textId="6A7DCE25" w:rsidR="00786BCF" w:rsidRPr="00F90161" w:rsidRDefault="00786BCF" w:rsidP="00F90161">
      <w:pPr>
        <w:pStyle w:val="Heading3"/>
        <w:spacing w:line="360" w:lineRule="auto"/>
        <w:jc w:val="both"/>
        <w:rPr>
          <w:rFonts w:cs="Times New Roman"/>
          <w:b w:val="0"/>
          <w:i/>
          <w:lang w:val="en-GB"/>
        </w:rPr>
      </w:pPr>
      <w:bookmarkStart w:id="4" w:name="_Toc188010238"/>
      <w:r w:rsidRPr="0097281E">
        <w:rPr>
          <w:rFonts w:cs="Times New Roman"/>
          <w:b w:val="0"/>
          <w:i/>
          <w:lang w:val="en-GB"/>
        </w:rPr>
        <w:t>Reconciliation throu</w:t>
      </w:r>
      <w:r>
        <w:rPr>
          <w:rFonts w:cs="Times New Roman"/>
          <w:b w:val="0"/>
          <w:i/>
          <w:lang w:val="en-GB"/>
        </w:rPr>
        <w:t>gh M</w:t>
      </w:r>
      <w:r w:rsidRPr="0097281E">
        <w:rPr>
          <w:rFonts w:cs="Times New Roman"/>
          <w:b w:val="0"/>
          <w:i/>
          <w:lang w:val="en-GB"/>
        </w:rPr>
        <w:t>ercy</w:t>
      </w:r>
      <w:bookmarkEnd w:id="4"/>
    </w:p>
    <w:p w14:paraId="304B9C85" w14:textId="385EAB78" w:rsidR="00786BCF" w:rsidRPr="000A0B9D" w:rsidRDefault="00786BCF" w:rsidP="0030451D">
      <w:pPr>
        <w:spacing w:line="360" w:lineRule="auto"/>
        <w:jc w:val="both"/>
        <w:rPr>
          <w:lang w:val="en-GB"/>
        </w:rPr>
      </w:pPr>
      <w:r>
        <w:rPr>
          <w:lang w:val="en-GB"/>
        </w:rPr>
        <w:t xml:space="preserve">Mercy has been described as a combination of Acceptance, Forgiveness, Support, </w:t>
      </w:r>
      <w:proofErr w:type="gramStart"/>
      <w:r>
        <w:rPr>
          <w:lang w:val="en-GB"/>
        </w:rPr>
        <w:t>Compassion</w:t>
      </w:r>
      <w:proofErr w:type="gramEnd"/>
      <w:r>
        <w:rPr>
          <w:lang w:val="en-GB"/>
        </w:rPr>
        <w:t xml:space="preserve"> and H</w:t>
      </w:r>
      <w:r w:rsidRPr="000A0B9D">
        <w:rPr>
          <w:lang w:val="en-GB"/>
        </w:rPr>
        <w:t xml:space="preserve">ealing. </w:t>
      </w:r>
      <w:r>
        <w:rPr>
          <w:lang w:val="en-GB"/>
        </w:rPr>
        <w:t xml:space="preserve"> It presupposes the willingness of victims to forgive and engage in a dialogue and for victims to tell the truth and repent.  There are some interesting examples of how Mercy may work and yet it is difficult to prescribe how victims and perpetrators could reach that point of dialogue and communication.</w:t>
      </w:r>
      <w:r>
        <w:rPr>
          <w:rStyle w:val="FootnoteReference"/>
          <w:lang w:val="en-GB"/>
        </w:rPr>
        <w:footnoteReference w:id="14"/>
      </w:r>
      <w:r w:rsidR="00325ABB">
        <w:rPr>
          <w:lang w:val="en-GB"/>
        </w:rPr>
        <w:t xml:space="preserve">  Many c</w:t>
      </w:r>
      <w:r w:rsidR="00191E49">
        <w:rPr>
          <w:lang w:val="en-GB"/>
        </w:rPr>
        <w:t>riminal justice systems</w:t>
      </w:r>
      <w:r>
        <w:rPr>
          <w:lang w:val="en-GB"/>
        </w:rPr>
        <w:t xml:space="preserve"> allow for a guilty plea, where an alleged perpetrator has a chance to plead guilty and by that act alone to determine the verdict and influence the sentence to his or her advantage.  It is a technical legal issue and does not require any proof that the guilty plea was a genuine admission of guilt and does not reflect repentance or humility of the perpetrator.  Yet, at the </w:t>
      </w:r>
      <w:proofErr w:type="spellStart"/>
      <w:r>
        <w:rPr>
          <w:lang w:val="en-GB"/>
        </w:rPr>
        <w:t>ICTY</w:t>
      </w:r>
      <w:proofErr w:type="spellEnd"/>
      <w:r>
        <w:rPr>
          <w:lang w:val="en-GB"/>
        </w:rPr>
        <w:t>, there were occasional cases of genuine expressions of guilt and remorse by those you pleaded guilty; they did not have quite as positive an ef</w:t>
      </w:r>
      <w:r w:rsidR="00191E49">
        <w:rPr>
          <w:lang w:val="en-GB"/>
        </w:rPr>
        <w:t xml:space="preserve">fect as one might have hoped.  </w:t>
      </w:r>
      <w:r>
        <w:rPr>
          <w:lang w:val="en-GB"/>
        </w:rPr>
        <w:t xml:space="preserve">There is an interesting comparison </w:t>
      </w:r>
      <w:r w:rsidR="00191E49">
        <w:rPr>
          <w:lang w:val="en-GB"/>
        </w:rPr>
        <w:t xml:space="preserve">to be made between </w:t>
      </w:r>
      <w:proofErr w:type="spellStart"/>
      <w:r w:rsidR="00191E49">
        <w:rPr>
          <w:lang w:val="en-GB"/>
        </w:rPr>
        <w:t>Biljana</w:t>
      </w:r>
      <w:proofErr w:type="spellEnd"/>
      <w:r w:rsidR="00191E49">
        <w:rPr>
          <w:lang w:val="en-GB"/>
        </w:rPr>
        <w:t xml:space="preserve"> </w:t>
      </w:r>
      <w:proofErr w:type="spellStart"/>
      <w:r w:rsidR="00191E49">
        <w:rPr>
          <w:lang w:val="en-GB"/>
        </w:rPr>
        <w:t>Plav</w:t>
      </w:r>
      <w:proofErr w:type="spellEnd"/>
      <w:r w:rsidR="00191E49">
        <w:rPr>
          <w:lang w:val="hr-HR"/>
        </w:rPr>
        <w:t>š</w:t>
      </w:r>
      <w:proofErr w:type="spellStart"/>
      <w:r w:rsidR="00191E49">
        <w:rPr>
          <w:lang w:val="en-GB"/>
        </w:rPr>
        <w:t>ić</w:t>
      </w:r>
      <w:proofErr w:type="spellEnd"/>
      <w:r w:rsidR="00191E49">
        <w:rPr>
          <w:lang w:val="en-GB"/>
        </w:rPr>
        <w:t xml:space="preserve"> and Milan </w:t>
      </w:r>
      <w:proofErr w:type="spellStart"/>
      <w:r w:rsidR="00191E49">
        <w:rPr>
          <w:lang w:val="en-GB"/>
        </w:rPr>
        <w:t>Babić</w:t>
      </w:r>
      <w:proofErr w:type="spellEnd"/>
      <w:r>
        <w:rPr>
          <w:lang w:val="en-GB"/>
        </w:rPr>
        <w:t xml:space="preserve">, two major </w:t>
      </w:r>
      <w:r>
        <w:rPr>
          <w:lang w:val="en-GB"/>
        </w:rPr>
        <w:lastRenderedPageBreak/>
        <w:t xml:space="preserve">politicians in </w:t>
      </w:r>
      <w:proofErr w:type="gramStart"/>
      <w:r>
        <w:rPr>
          <w:lang w:val="en-GB"/>
        </w:rPr>
        <w:t>war time</w:t>
      </w:r>
      <w:proofErr w:type="gramEnd"/>
      <w:r>
        <w:rPr>
          <w:lang w:val="en-GB"/>
        </w:rPr>
        <w:t xml:space="preserve"> </w:t>
      </w:r>
      <w:proofErr w:type="spellStart"/>
      <w:r>
        <w:rPr>
          <w:lang w:val="en-GB"/>
        </w:rPr>
        <w:t>BiH</w:t>
      </w:r>
      <w:proofErr w:type="spellEnd"/>
      <w:r>
        <w:rPr>
          <w:lang w:val="en-GB"/>
        </w:rPr>
        <w:t xml:space="preserve"> and Croatia,</w:t>
      </w:r>
      <w:r w:rsidR="00191E49">
        <w:rPr>
          <w:lang w:val="en-GB"/>
        </w:rPr>
        <w:t xml:space="preserve"> who both pleaded guilty.  </w:t>
      </w:r>
      <w:proofErr w:type="spellStart"/>
      <w:r w:rsidR="00191E49">
        <w:rPr>
          <w:lang w:val="en-GB"/>
        </w:rPr>
        <w:t>Plavšić</w:t>
      </w:r>
      <w:proofErr w:type="spellEnd"/>
      <w:r>
        <w:rPr>
          <w:lang w:val="en-GB"/>
        </w:rPr>
        <w:t xml:space="preserve"> did it for cynical reasons of reducing the sentence, which worked well for her.  After being sentenced to 12 years in prison she was eventually freed after serving one third of her sentence.  Milan </w:t>
      </w:r>
      <w:proofErr w:type="spellStart"/>
      <w:r>
        <w:rPr>
          <w:lang w:val="en-GB"/>
        </w:rPr>
        <w:t>Babić</w:t>
      </w:r>
      <w:proofErr w:type="spellEnd"/>
      <w:r>
        <w:rPr>
          <w:lang w:val="en-GB"/>
        </w:rPr>
        <w:t>, the leader of the Croatian Serbs, first appeared as Prosecution Witness in Slobodan Milo</w:t>
      </w:r>
      <w:r>
        <w:rPr>
          <w:lang w:val="hr-HR"/>
        </w:rPr>
        <w:t>š</w:t>
      </w:r>
      <w:proofErr w:type="spellStart"/>
      <w:r>
        <w:rPr>
          <w:lang w:val="en-GB"/>
        </w:rPr>
        <w:t>ević’s</w:t>
      </w:r>
      <w:proofErr w:type="spellEnd"/>
      <w:r>
        <w:rPr>
          <w:lang w:val="en-GB"/>
        </w:rPr>
        <w:t xml:space="preserve"> trial.  He told everything he knew and genuinely tried to help the Prosecution.  His testimony was of a great importance for proving Milošević’s criminal intent.  After his testimony, he was indicted by the </w:t>
      </w:r>
      <w:proofErr w:type="spellStart"/>
      <w:r>
        <w:rPr>
          <w:lang w:val="en-GB"/>
        </w:rPr>
        <w:t>ICTY</w:t>
      </w:r>
      <w:proofErr w:type="spellEnd"/>
      <w:r>
        <w:rPr>
          <w:lang w:val="en-GB"/>
        </w:rPr>
        <w:t xml:space="preserve"> and after pleading guilty, sentenced to 13 years of prison.  He was compelled by the Prosecution to testify in other </w:t>
      </w:r>
      <w:proofErr w:type="spellStart"/>
      <w:r>
        <w:rPr>
          <w:lang w:val="en-GB"/>
        </w:rPr>
        <w:t>ICTY</w:t>
      </w:r>
      <w:proofErr w:type="spellEnd"/>
      <w:r>
        <w:rPr>
          <w:lang w:val="en-GB"/>
        </w:rPr>
        <w:t xml:space="preserve"> cases and </w:t>
      </w:r>
      <w:r w:rsidR="00325ABB">
        <w:rPr>
          <w:lang w:val="en-GB"/>
        </w:rPr>
        <w:t xml:space="preserve">in the course of </w:t>
      </w:r>
      <w:r w:rsidR="00191E49">
        <w:rPr>
          <w:lang w:val="en-GB"/>
        </w:rPr>
        <w:t>h</w:t>
      </w:r>
      <w:r>
        <w:rPr>
          <w:lang w:val="en-GB"/>
        </w:rPr>
        <w:t>is testimon</w:t>
      </w:r>
      <w:r w:rsidR="00325ABB">
        <w:rPr>
          <w:lang w:val="en-GB"/>
        </w:rPr>
        <w:t>y</w:t>
      </w:r>
      <w:r>
        <w:rPr>
          <w:lang w:val="en-GB"/>
        </w:rPr>
        <w:t xml:space="preserve"> </w:t>
      </w:r>
      <w:r w:rsidR="00191E49">
        <w:rPr>
          <w:lang w:val="en-GB"/>
        </w:rPr>
        <w:t xml:space="preserve">against his fellow Croatian Serb, </w:t>
      </w:r>
      <w:proofErr w:type="spellStart"/>
      <w:r w:rsidR="00191E49">
        <w:rPr>
          <w:lang w:val="en-GB"/>
        </w:rPr>
        <w:t>Babić</w:t>
      </w:r>
      <w:proofErr w:type="spellEnd"/>
      <w:r w:rsidR="00191E49">
        <w:rPr>
          <w:lang w:val="en-GB"/>
        </w:rPr>
        <w:t xml:space="preserve"> </w:t>
      </w:r>
      <w:r>
        <w:rPr>
          <w:lang w:val="en-GB"/>
        </w:rPr>
        <w:t>committed suicide in his prison cell.</w:t>
      </w:r>
      <w:r>
        <w:rPr>
          <w:rStyle w:val="FootnoteReference"/>
          <w:lang w:val="en-GB"/>
        </w:rPr>
        <w:footnoteReference w:id="15"/>
      </w:r>
      <w:r>
        <w:rPr>
          <w:lang w:val="en-GB"/>
        </w:rPr>
        <w:t xml:space="preserve"> </w:t>
      </w:r>
      <w:r w:rsidR="00325ABB">
        <w:rPr>
          <w:lang w:val="en-GB"/>
        </w:rPr>
        <w:t xml:space="preserve"> </w:t>
      </w:r>
      <w:proofErr w:type="gramStart"/>
      <w:r w:rsidR="00325ABB">
        <w:rPr>
          <w:lang w:val="en-GB"/>
        </w:rPr>
        <w:t>His  remorse</w:t>
      </w:r>
      <w:proofErr w:type="gramEnd"/>
      <w:r w:rsidR="00325ABB">
        <w:rPr>
          <w:lang w:val="en-GB"/>
        </w:rPr>
        <w:t xml:space="preserve"> did not </w:t>
      </w:r>
      <w:r w:rsidR="008116CA">
        <w:rPr>
          <w:lang w:val="en-GB"/>
        </w:rPr>
        <w:t>stimulate</w:t>
      </w:r>
      <w:r w:rsidR="00325ABB">
        <w:rPr>
          <w:lang w:val="en-GB"/>
        </w:rPr>
        <w:t xml:space="preserve"> any </w:t>
      </w:r>
      <w:r w:rsidR="008116CA">
        <w:rPr>
          <w:lang w:val="en-GB"/>
        </w:rPr>
        <w:t xml:space="preserve">response from those victims and perpetrators who might have been interested in reconciliation, or from UN </w:t>
      </w:r>
      <w:proofErr w:type="spellStart"/>
      <w:r w:rsidR="008116CA">
        <w:rPr>
          <w:lang w:val="en-GB"/>
        </w:rPr>
        <w:t>ICTY</w:t>
      </w:r>
      <w:proofErr w:type="spellEnd"/>
      <w:r w:rsidR="008116CA">
        <w:rPr>
          <w:lang w:val="en-GB"/>
        </w:rPr>
        <w:t xml:space="preserve"> officials. </w:t>
      </w:r>
      <w:r w:rsidR="002D6BB0">
        <w:rPr>
          <w:lang w:val="en-GB"/>
        </w:rPr>
        <w:t xml:space="preserve"> If the acts of a man like </w:t>
      </w:r>
      <w:proofErr w:type="spellStart"/>
      <w:r w:rsidR="002D6BB0">
        <w:rPr>
          <w:lang w:val="en-GB"/>
        </w:rPr>
        <w:t>Babić</w:t>
      </w:r>
      <w:proofErr w:type="spellEnd"/>
      <w:r w:rsidR="008116CA">
        <w:rPr>
          <w:lang w:val="en-GB"/>
        </w:rPr>
        <w:t xml:space="preserve"> can</w:t>
      </w:r>
      <w:r w:rsidR="002D6BB0">
        <w:rPr>
          <w:lang w:val="en-GB"/>
        </w:rPr>
        <w:t>not</w:t>
      </w:r>
      <w:r w:rsidR="008116CA">
        <w:rPr>
          <w:lang w:val="en-GB"/>
        </w:rPr>
        <w:t xml:space="preserve"> contribute to reconciliation through Mercy and Remorse</w:t>
      </w:r>
      <w:r w:rsidR="002D6BB0">
        <w:rPr>
          <w:lang w:val="en-GB"/>
        </w:rPr>
        <w:t>, what can</w:t>
      </w:r>
      <w:r w:rsidR="002D6BB0">
        <w:rPr>
          <w:lang w:val="en-US"/>
        </w:rPr>
        <w:t>?</w:t>
      </w:r>
      <w:r w:rsidR="00325ABB">
        <w:rPr>
          <w:lang w:val="en-GB"/>
        </w:rPr>
        <w:t xml:space="preserve"> </w:t>
      </w:r>
    </w:p>
    <w:p w14:paraId="5FC056C8" w14:textId="77777777" w:rsidR="00786BCF" w:rsidRPr="00B90D18" w:rsidRDefault="00786BCF" w:rsidP="0030451D">
      <w:pPr>
        <w:spacing w:line="360" w:lineRule="auto"/>
        <w:jc w:val="both"/>
        <w:rPr>
          <w:b/>
          <w:i/>
          <w:lang w:val="en-GB"/>
        </w:rPr>
      </w:pPr>
    </w:p>
    <w:p w14:paraId="70CE26E5" w14:textId="77777777" w:rsidR="00786BCF" w:rsidRPr="002A580B" w:rsidRDefault="00786BCF" w:rsidP="0030451D">
      <w:pPr>
        <w:pStyle w:val="Heading3"/>
        <w:spacing w:line="360" w:lineRule="auto"/>
        <w:jc w:val="both"/>
        <w:rPr>
          <w:rFonts w:cs="Times New Roman"/>
          <w:b w:val="0"/>
          <w:i/>
          <w:lang w:val="en-GB"/>
        </w:rPr>
      </w:pPr>
      <w:r w:rsidRPr="002A580B">
        <w:rPr>
          <w:rFonts w:cs="Times New Roman"/>
          <w:b w:val="0"/>
          <w:i/>
          <w:lang w:val="en-GB"/>
        </w:rPr>
        <w:t>Reconc</w:t>
      </w:r>
      <w:r>
        <w:rPr>
          <w:rFonts w:cs="Times New Roman"/>
          <w:b w:val="0"/>
          <w:i/>
          <w:lang w:val="en-GB"/>
        </w:rPr>
        <w:t>iliation through J</w:t>
      </w:r>
      <w:r w:rsidRPr="002A580B">
        <w:rPr>
          <w:rFonts w:cs="Times New Roman"/>
          <w:b w:val="0"/>
          <w:i/>
          <w:lang w:val="en-GB"/>
        </w:rPr>
        <w:t xml:space="preserve">ustice </w:t>
      </w:r>
    </w:p>
    <w:p w14:paraId="6DE85293" w14:textId="45A74ACE" w:rsidR="00786BCF" w:rsidRDefault="00786BCF" w:rsidP="0030451D">
      <w:pPr>
        <w:spacing w:line="360" w:lineRule="auto"/>
        <w:jc w:val="both"/>
        <w:rPr>
          <w:lang w:val="en-GB"/>
        </w:rPr>
      </w:pPr>
      <w:r w:rsidRPr="000A0B9D">
        <w:rPr>
          <w:lang w:val="en-GB"/>
        </w:rPr>
        <w:t>To many reconciliation theorists justice is one of the primary components of reconciliation</w:t>
      </w:r>
      <w:proofErr w:type="gramStart"/>
      <w:r w:rsidRPr="000A0B9D">
        <w:rPr>
          <w:lang w:val="en-GB"/>
        </w:rPr>
        <w:t xml:space="preserve">. </w:t>
      </w:r>
      <w:proofErr w:type="gramEnd"/>
      <w:r>
        <w:rPr>
          <w:lang w:val="en-GB"/>
        </w:rPr>
        <w:t xml:space="preserve">There is a consensus that any sense of injustice in post-conflict societies might lead to the rekindling of the fires of conflict, while a </w:t>
      </w:r>
      <w:r w:rsidRPr="000A0B9D">
        <w:rPr>
          <w:lang w:val="en-GB"/>
        </w:rPr>
        <w:t xml:space="preserve">feeling of justice </w:t>
      </w:r>
      <w:r>
        <w:rPr>
          <w:lang w:val="en-GB"/>
        </w:rPr>
        <w:t xml:space="preserve">may constitute </w:t>
      </w:r>
      <w:r w:rsidRPr="000A0B9D">
        <w:rPr>
          <w:lang w:val="en-GB"/>
        </w:rPr>
        <w:t xml:space="preserve">the basis for a </w:t>
      </w:r>
      <w:r>
        <w:rPr>
          <w:lang w:val="en-GB"/>
        </w:rPr>
        <w:t xml:space="preserve">stable and </w:t>
      </w:r>
      <w:r w:rsidRPr="000A0B9D">
        <w:rPr>
          <w:lang w:val="en-GB"/>
        </w:rPr>
        <w:t>peaceful society</w:t>
      </w:r>
      <w:r>
        <w:rPr>
          <w:lang w:val="en-GB"/>
        </w:rPr>
        <w:t>.</w:t>
      </w:r>
      <w:r>
        <w:rPr>
          <w:rStyle w:val="FootnoteReference"/>
          <w:lang w:val="en-GB"/>
        </w:rPr>
        <w:footnoteReference w:id="16"/>
      </w:r>
      <w:r w:rsidRPr="000A0B9D">
        <w:rPr>
          <w:lang w:val="en-GB"/>
        </w:rPr>
        <w:t xml:space="preserve"> </w:t>
      </w:r>
      <w:r w:rsidR="002D6BB0">
        <w:rPr>
          <w:lang w:val="en-GB"/>
        </w:rPr>
        <w:t xml:space="preserve"> </w:t>
      </w:r>
      <w:r>
        <w:rPr>
          <w:lang w:val="en-GB"/>
        </w:rPr>
        <w:t xml:space="preserve">However, the literature on reconciliation does not define </w:t>
      </w:r>
      <w:r w:rsidRPr="000A0B9D">
        <w:rPr>
          <w:lang w:val="en-GB"/>
        </w:rPr>
        <w:t xml:space="preserve">justice </w:t>
      </w:r>
      <w:r>
        <w:rPr>
          <w:lang w:val="en-GB"/>
        </w:rPr>
        <w:t xml:space="preserve">in clear terms.  Does justice relate to retributive, restorative, </w:t>
      </w:r>
      <w:proofErr w:type="gramStart"/>
      <w:r>
        <w:rPr>
          <w:lang w:val="en-GB"/>
        </w:rPr>
        <w:t>transitional</w:t>
      </w:r>
      <w:proofErr w:type="gramEnd"/>
      <w:r>
        <w:rPr>
          <w:lang w:val="en-GB"/>
        </w:rPr>
        <w:t xml:space="preserve"> or historical justice?</w:t>
      </w:r>
      <w:r>
        <w:rPr>
          <w:rStyle w:val="FootnoteReference"/>
          <w:lang w:val="en-GB"/>
        </w:rPr>
        <w:footnoteReference w:id="17"/>
      </w:r>
      <w:r>
        <w:rPr>
          <w:lang w:val="en-GB"/>
        </w:rPr>
        <w:t xml:space="preserve"> </w:t>
      </w:r>
    </w:p>
    <w:p w14:paraId="04B4D49B" w14:textId="77777777" w:rsidR="00191E49" w:rsidRDefault="00191E49" w:rsidP="0030451D">
      <w:pPr>
        <w:pStyle w:val="Paragraph"/>
        <w:rPr>
          <w:b/>
          <w:u w:val="single"/>
        </w:rPr>
      </w:pPr>
    </w:p>
    <w:p w14:paraId="284CF3E2" w14:textId="77777777" w:rsidR="00786BCF" w:rsidRPr="00413F7B" w:rsidRDefault="00786BCF" w:rsidP="0030451D">
      <w:pPr>
        <w:pStyle w:val="Paragraph"/>
        <w:rPr>
          <w:b/>
          <w:u w:val="single"/>
        </w:rPr>
      </w:pPr>
      <w:r>
        <w:rPr>
          <w:b/>
          <w:u w:val="single"/>
        </w:rPr>
        <w:t xml:space="preserve">Ambitions and Realities of the </w:t>
      </w:r>
      <w:proofErr w:type="spellStart"/>
      <w:r w:rsidRPr="00413F7B">
        <w:rPr>
          <w:b/>
          <w:u w:val="single"/>
        </w:rPr>
        <w:t>ICTY</w:t>
      </w:r>
      <w:proofErr w:type="spellEnd"/>
      <w:r w:rsidRPr="00413F7B">
        <w:rPr>
          <w:b/>
          <w:u w:val="single"/>
        </w:rPr>
        <w:t xml:space="preserve"> Mandate, 1993-2013</w:t>
      </w:r>
    </w:p>
    <w:p w14:paraId="2B34FA12" w14:textId="32B52C89" w:rsidR="00786BCF" w:rsidRDefault="00786BCF" w:rsidP="0030451D">
      <w:pPr>
        <w:spacing w:line="360" w:lineRule="auto"/>
        <w:jc w:val="both"/>
        <w:rPr>
          <w:lang w:val="en-GB"/>
        </w:rPr>
      </w:pPr>
      <w:r>
        <w:rPr>
          <w:lang w:val="en-GB"/>
        </w:rPr>
        <w:t>It could easily be argued that the four elements</w:t>
      </w:r>
      <w:r w:rsidR="00191E49">
        <w:rPr>
          <w:lang w:val="en-GB"/>
        </w:rPr>
        <w:t xml:space="preserve"> </w:t>
      </w:r>
      <w:r w:rsidR="00191E49">
        <w:rPr>
          <w:lang w:val="en-US"/>
        </w:rPr>
        <w:t xml:space="preserve">- </w:t>
      </w:r>
      <w:r w:rsidR="00191E49">
        <w:rPr>
          <w:lang w:val="en-GB"/>
        </w:rPr>
        <w:t>Peace, Justice, Truth</w:t>
      </w:r>
      <w:r w:rsidR="00E94470">
        <w:rPr>
          <w:lang w:val="en-GB"/>
        </w:rPr>
        <w:t xml:space="preserve"> and Mercy </w:t>
      </w:r>
      <w:proofErr w:type="gramStart"/>
      <w:r w:rsidR="00E94470">
        <w:rPr>
          <w:lang w:val="en-GB"/>
        </w:rPr>
        <w:t>-</w:t>
      </w:r>
      <w:r w:rsidR="00191E49">
        <w:rPr>
          <w:lang w:val="en-GB"/>
        </w:rPr>
        <w:t xml:space="preserve"> </w:t>
      </w:r>
      <w:r>
        <w:rPr>
          <w:lang w:val="en-GB"/>
        </w:rPr>
        <w:t xml:space="preserve"> relating</w:t>
      </w:r>
      <w:proofErr w:type="gramEnd"/>
      <w:r>
        <w:rPr>
          <w:lang w:val="en-GB"/>
        </w:rPr>
        <w:t xml:space="preserve"> to Reconciliation respond to the definition of Restorative Justice, a victim-centred justice system that identifies as the essential needs for victims: the information, validation, vindication, restitution, testimony, safety and support.</w:t>
      </w:r>
      <w:r>
        <w:rPr>
          <w:rStyle w:val="FootnoteReference"/>
          <w:lang w:val="en-GB"/>
        </w:rPr>
        <w:footnoteReference w:id="18"/>
      </w:r>
      <w:r>
        <w:rPr>
          <w:lang w:val="en-GB"/>
        </w:rPr>
        <w:t xml:space="preserve">  </w:t>
      </w:r>
    </w:p>
    <w:p w14:paraId="2A6A5DA1" w14:textId="77777777" w:rsidR="00786BCF" w:rsidRDefault="00786BCF" w:rsidP="0030451D">
      <w:pPr>
        <w:pStyle w:val="Paragraph"/>
      </w:pPr>
      <w:r>
        <w:lastRenderedPageBreak/>
        <w:t xml:space="preserve">All the above considerations only highlight and stimulate the question of why and how </w:t>
      </w:r>
      <w:proofErr w:type="gramStart"/>
      <w:r>
        <w:t>can</w:t>
      </w:r>
      <w:proofErr w:type="gramEnd"/>
      <w:r>
        <w:t xml:space="preserve"> Reconciliation be connected to Retributive Justice as delivered at the </w:t>
      </w:r>
      <w:proofErr w:type="spellStart"/>
      <w:r>
        <w:t>ICTY</w:t>
      </w:r>
      <w:proofErr w:type="spellEnd"/>
      <w:r>
        <w:rPr>
          <w:lang w:val="en-US"/>
        </w:rPr>
        <w:t>?</w:t>
      </w:r>
      <w:r>
        <w:t xml:space="preserve"> </w:t>
      </w:r>
    </w:p>
    <w:p w14:paraId="2BA52121" w14:textId="016187DF" w:rsidR="00786BCF" w:rsidRDefault="00786BCF" w:rsidP="0030451D">
      <w:pPr>
        <w:pStyle w:val="Paragraph"/>
      </w:pPr>
      <w:r>
        <w:t xml:space="preserve">In strictly legal terms the normal criminal legal system, as a classical example of retributive justice, is perpetrator-oriented and as such pursues a mandate that deals with the investigation and punishment of individual offenders.  Increasingly, especially in international criminal tribunals dealing with war crimes, a no less important legal mandate is the administration of justice for victims.  Finally, there is a legal mandate of deterrence, i.e. there is an expectation that an efficient system of punishment would inevitably result in controlling the recurrence, and reducing the rate, of crime.  </w:t>
      </w:r>
    </w:p>
    <w:p w14:paraId="78F4B977" w14:textId="572FB9C5" w:rsidR="00786BCF" w:rsidRDefault="00786BCF" w:rsidP="0030451D">
      <w:pPr>
        <w:pStyle w:val="Paragraph"/>
      </w:pPr>
      <w:r>
        <w:t>Crime – and the need to deal with it – is eternal.  Regardless of the ideological foundations of a state and regardless of the level of civilisation achieved in any society, crime is here to stay.  In no national jurisdiction do the police and justice systems state as goals the complete elimination of crime.  A</w:t>
      </w:r>
      <w:r w:rsidR="00E94470">
        <w:t xml:space="preserve">nd, properly, when the </w:t>
      </w:r>
      <w:proofErr w:type="spellStart"/>
      <w:r w:rsidR="00E94470">
        <w:t>ICTY</w:t>
      </w:r>
      <w:proofErr w:type="spellEnd"/>
      <w:r w:rsidR="00E94470">
        <w:t xml:space="preserve"> was</w:t>
      </w:r>
      <w:r w:rsidRPr="00FD63B5">
        <w:t xml:space="preserve"> founded in 1993, one of </w:t>
      </w:r>
      <w:r>
        <w:t>its</w:t>
      </w:r>
      <w:r w:rsidRPr="00FD63B5">
        <w:t xml:space="preserve"> stated objectives was deterrence of the commission of </w:t>
      </w:r>
      <w:r>
        <w:t xml:space="preserve">future </w:t>
      </w:r>
      <w:r w:rsidRPr="00FD63B5">
        <w:t xml:space="preserve">crimes. </w:t>
      </w:r>
      <w:r>
        <w:t xml:space="preserve"> </w:t>
      </w:r>
      <w:r w:rsidRPr="00FD63B5">
        <w:t>The reality</w:t>
      </w:r>
      <w:r>
        <w:t>, unhappily,</w:t>
      </w:r>
      <w:r w:rsidRPr="00FD63B5">
        <w:t xml:space="preserve"> was that some of the gravest atrocities of the war were committed by Serbian armed forces years after the establishment of the </w:t>
      </w:r>
      <w:proofErr w:type="spellStart"/>
      <w:r w:rsidRPr="00FD63B5">
        <w:t>ICTY</w:t>
      </w:r>
      <w:proofErr w:type="spellEnd"/>
      <w:r>
        <w:t>, in 1995 in Eastern Bosnian and in 1998-1999 in Kosovo</w:t>
      </w:r>
      <w:r w:rsidRPr="00FD63B5">
        <w:t xml:space="preserve">. </w:t>
      </w:r>
      <w:r>
        <w:t xml:space="preserve"> </w:t>
      </w:r>
    </w:p>
    <w:p w14:paraId="5F7BF933" w14:textId="0DDAB028" w:rsidR="00786BCF" w:rsidRDefault="00786BCF" w:rsidP="0030451D">
      <w:pPr>
        <w:pStyle w:val="Paragraph"/>
      </w:pPr>
      <w:r>
        <w:t>Re</w:t>
      </w:r>
      <w:r w:rsidR="00E94470">
        <w:t>tributive Justice systems serve</w:t>
      </w:r>
      <w:r>
        <w:t xml:space="preserve"> the delivery of justice to victims by punishing perpetrators, but only by verdicts and senten</w:t>
      </w:r>
      <w:r w:rsidR="00E94470">
        <w:t>ces of those found guilty.  S</w:t>
      </w:r>
      <w:r>
        <w:t xml:space="preserve">uch systems rarely offer more to victims. </w:t>
      </w:r>
      <w:r w:rsidR="00E94470">
        <w:t xml:space="preserve"> </w:t>
      </w:r>
      <w:r w:rsidR="00C27D60">
        <w:t>It is true that victims at the p</w:t>
      </w:r>
      <w:r>
        <w:t xml:space="preserve">ermanent </w:t>
      </w:r>
      <w:r w:rsidR="00E94470">
        <w:t>International Criminal Court</w:t>
      </w:r>
      <w:r w:rsidR="00C27D60">
        <w:t xml:space="preserve"> (ICC</w:t>
      </w:r>
      <w:r w:rsidR="00E94470">
        <w:t xml:space="preserve">) </w:t>
      </w:r>
      <w:r>
        <w:t xml:space="preserve">are accorded some rights of appearance with the prospect of recovery of compensation and that this approach is finding some favour elsewhere in national justice systems.  At the </w:t>
      </w:r>
      <w:proofErr w:type="spellStart"/>
      <w:r>
        <w:t>ICTY</w:t>
      </w:r>
      <w:proofErr w:type="spellEnd"/>
      <w:r>
        <w:t xml:space="preserve"> victims had no such expectations</w:t>
      </w:r>
      <w:r w:rsidR="00C27D60">
        <w:t>.  They appeared as witnesses leaving a</w:t>
      </w:r>
      <w:r>
        <w:t xml:space="preserve"> record by their testimonies.  Yet those testimonies, as much as they are important, have been given under strict rules and the rigor of the adversarial legal system.  Many details - maybe of emotional and social relevance for a victim - would not be included in the testimony as court procedures are primarily concerned with the probative value of evidence and not with the stories witness</w:t>
      </w:r>
      <w:r w:rsidR="00E94470">
        <w:t>es wanted</w:t>
      </w:r>
      <w:r w:rsidR="00C27D60">
        <w:t xml:space="preserve"> </w:t>
      </w:r>
      <w:r w:rsidR="00E94470">
        <w:t xml:space="preserve">and </w:t>
      </w:r>
      <w:r w:rsidR="00C27D60">
        <w:t>needed</w:t>
      </w:r>
      <w:r>
        <w:t xml:space="preserve"> to tell.  For some victims</w:t>
      </w:r>
      <w:r w:rsidR="001835CF">
        <w:t>,</w:t>
      </w:r>
      <w:r>
        <w:t xml:space="preserve"> testifying at the </w:t>
      </w:r>
      <w:proofErr w:type="spellStart"/>
      <w:r>
        <w:t>ICTY</w:t>
      </w:r>
      <w:proofErr w:type="spellEnd"/>
      <w:r>
        <w:t xml:space="preserve"> was their first experience</w:t>
      </w:r>
      <w:r w:rsidR="00E94470">
        <w:t xml:space="preserve"> of a court.</w:t>
      </w:r>
      <w:r w:rsidR="002D6BB0">
        <w:t xml:space="preserve">  Some of them </w:t>
      </w:r>
      <w:r w:rsidR="00E36BE9">
        <w:t xml:space="preserve">had </w:t>
      </w:r>
      <w:r w:rsidR="002D6BB0">
        <w:t xml:space="preserve">never left their villages before, only to find </w:t>
      </w:r>
      <w:r w:rsidR="00E36BE9">
        <w:t>themselves</w:t>
      </w:r>
      <w:r w:rsidR="002D6BB0">
        <w:t xml:space="preserve"> in a court using a foreign language and bein</w:t>
      </w:r>
      <w:r w:rsidR="00E36BE9">
        <w:t>g cross-examined by an Accused.</w:t>
      </w:r>
      <w:r w:rsidR="00E94470">
        <w:t xml:space="preserve">  Slobodan </w:t>
      </w:r>
      <w:proofErr w:type="spellStart"/>
      <w:r w:rsidR="00E94470">
        <w:t>Miloševi</w:t>
      </w:r>
      <w:proofErr w:type="spellEnd"/>
      <w:r w:rsidR="00E94470">
        <w:rPr>
          <w:lang w:val="hr-HR"/>
        </w:rPr>
        <w:t>ć</w:t>
      </w:r>
      <w:r>
        <w:t xml:space="preserve">, Vojislav </w:t>
      </w:r>
      <w:r>
        <w:rPr>
          <w:lang w:val="hr-HR"/>
        </w:rPr>
        <w:t>Šešelj,</w:t>
      </w:r>
      <w:r>
        <w:t xml:space="preserve"> and Radovan </w:t>
      </w:r>
      <w:proofErr w:type="spellStart"/>
      <w:r>
        <w:t>Karadžić</w:t>
      </w:r>
      <w:proofErr w:type="spellEnd"/>
      <w:r>
        <w:t>, who were represen</w:t>
      </w:r>
      <w:r w:rsidR="001835CF">
        <w:t xml:space="preserve">ting </w:t>
      </w:r>
      <w:proofErr w:type="gramStart"/>
      <w:r w:rsidR="001835CF">
        <w:t>themselves</w:t>
      </w:r>
      <w:proofErr w:type="gramEnd"/>
      <w:r w:rsidR="001835CF">
        <w:t xml:space="preserve"> in </w:t>
      </w:r>
      <w:r>
        <w:t>court, were allow</w:t>
      </w:r>
      <w:r w:rsidR="001835CF">
        <w:t>ed to cross-examine the victims</w:t>
      </w:r>
      <w:r>
        <w:t xml:space="preserve">.  The experience </w:t>
      </w:r>
      <w:r w:rsidR="00E94470">
        <w:t xml:space="preserve">left few </w:t>
      </w:r>
      <w:r w:rsidR="00E94470">
        <w:lastRenderedPageBreak/>
        <w:t xml:space="preserve">victims unmoved and some </w:t>
      </w:r>
      <w:r>
        <w:t xml:space="preserve">were </w:t>
      </w:r>
      <w:r w:rsidR="001835CF">
        <w:t xml:space="preserve">left </w:t>
      </w:r>
      <w:r>
        <w:t>traumatised</w:t>
      </w:r>
      <w:r w:rsidR="001835CF">
        <w:t xml:space="preserve">. </w:t>
      </w:r>
      <w:r w:rsidR="002D6BB0">
        <w:t xml:space="preserve"> </w:t>
      </w:r>
      <w:r w:rsidR="001835CF">
        <w:t>They experienced no reconciliation and they found no reason to be merciful</w:t>
      </w:r>
      <w:r w:rsidR="001835CF">
        <w:rPr>
          <w:lang w:val="en-US"/>
        </w:rPr>
        <w:t xml:space="preserve">; </w:t>
      </w:r>
      <w:r w:rsidR="001835CF">
        <w:t xml:space="preserve">instead they suffered trauma heaped on trauma. </w:t>
      </w:r>
    </w:p>
    <w:p w14:paraId="3213F3D1" w14:textId="38414E1D" w:rsidR="00786BCF" w:rsidRDefault="00786BCF" w:rsidP="0030451D">
      <w:pPr>
        <w:pStyle w:val="Paragraph"/>
      </w:pPr>
      <w:r>
        <w:t>Yet t</w:t>
      </w:r>
      <w:r w:rsidR="00936A5D">
        <w:t>here has been an implicit</w:t>
      </w:r>
      <w:r>
        <w:t xml:space="preserve"> expectation that the </w:t>
      </w:r>
      <w:proofErr w:type="spellStart"/>
      <w:r>
        <w:t>ICTY</w:t>
      </w:r>
      <w:proofErr w:type="spellEnd"/>
      <w:r>
        <w:t xml:space="preserve"> would facilitate reconciliation</w:t>
      </w:r>
      <w:proofErr w:type="gramStart"/>
      <w:r w:rsidR="002173AE">
        <w:t xml:space="preserve">. </w:t>
      </w:r>
      <w:proofErr w:type="gramEnd"/>
      <w:r w:rsidR="002173AE">
        <w:t>Some lawyers have expressed sc</w:t>
      </w:r>
      <w:r>
        <w:t xml:space="preserve">epticism about that particular expectation, asking if there is any national court where a court claims - or the public expects - that (say) in a rape case the trial and eventual verdict would lead to reconciliation of the perpetrator(s) with the victim(s)?  Or that a bank robber once tried and sentenced should – by reason of the trial itself - become reconciled with the bank clerks he threatened, or with the bank management, or even with the bank clients whose accounts he effectively robbed? </w:t>
      </w:r>
    </w:p>
    <w:p w14:paraId="427D6E0B" w14:textId="77777777" w:rsidR="00786BCF" w:rsidRPr="00533D87" w:rsidRDefault="00786BCF" w:rsidP="0030451D">
      <w:pPr>
        <w:pStyle w:val="Paragraph"/>
        <w:rPr>
          <w:b/>
          <w:i/>
        </w:rPr>
      </w:pPr>
      <w:r w:rsidRPr="00533D87">
        <w:rPr>
          <w:b/>
          <w:i/>
        </w:rPr>
        <w:t>Conclusions</w:t>
      </w:r>
    </w:p>
    <w:p w14:paraId="60F38305" w14:textId="0E6D39A8" w:rsidR="00786BCF" w:rsidRDefault="00786BCF" w:rsidP="0030451D">
      <w:pPr>
        <w:pStyle w:val="Paragraph"/>
      </w:pPr>
      <w:r>
        <w:t xml:space="preserve">When the </w:t>
      </w:r>
      <w:proofErr w:type="spellStart"/>
      <w:r w:rsidR="002173AE">
        <w:t>ICTY</w:t>
      </w:r>
      <w:proofErr w:type="spellEnd"/>
      <w:r w:rsidR="002173AE">
        <w:t xml:space="preserve"> was established</w:t>
      </w:r>
      <w:r w:rsidR="00C27D60">
        <w:t xml:space="preserve"> </w:t>
      </w:r>
      <w:r w:rsidR="004A73D5">
        <w:t xml:space="preserve">in 1993 </w:t>
      </w:r>
      <w:r w:rsidR="002173AE">
        <w:t>to deal</w:t>
      </w:r>
      <w:r>
        <w:t xml:space="preserve"> with political violence and crimes of mass atrocities it was assumed that facilitating reconciliation would and should be possible</w:t>
      </w:r>
      <w:r w:rsidR="002173AE">
        <w:t xml:space="preserve">, just as it has been since with the creation of the permanent ICC at its creation by the Rome Statute </w:t>
      </w:r>
      <w:r w:rsidR="004A73D5">
        <w:t>in 2002</w:t>
      </w:r>
      <w:r>
        <w:t xml:space="preserve">. </w:t>
      </w:r>
      <w:r w:rsidR="004A73D5">
        <w:t xml:space="preserve"> </w:t>
      </w:r>
      <w:r w:rsidR="002173AE">
        <w:t>Yet n</w:t>
      </w:r>
      <w:r>
        <w:t xml:space="preserve">obody with decision-making authority within the </w:t>
      </w:r>
      <w:proofErr w:type="spellStart"/>
      <w:r w:rsidR="004A73D5">
        <w:t>ICTY</w:t>
      </w:r>
      <w:proofErr w:type="spellEnd"/>
      <w:r w:rsidR="004A73D5">
        <w:t xml:space="preserve"> and the </w:t>
      </w:r>
      <w:r w:rsidR="00C27D60">
        <w:t>UN</w:t>
      </w:r>
      <w:r w:rsidR="002173AE">
        <w:t xml:space="preserve"> - or now</w:t>
      </w:r>
      <w:r w:rsidR="00501B25">
        <w:t xml:space="preserve"> </w:t>
      </w:r>
      <w:r w:rsidR="002173AE">
        <w:t xml:space="preserve">at </w:t>
      </w:r>
      <w:r w:rsidR="00501B25">
        <w:t>the ICC</w:t>
      </w:r>
      <w:r w:rsidR="00C27D60">
        <w:t xml:space="preserve"> </w:t>
      </w:r>
      <w:r w:rsidR="002173AE">
        <w:t>- has</w:t>
      </w:r>
      <w:r>
        <w:t xml:space="preserve"> explained how this might happen</w:t>
      </w:r>
      <w:r w:rsidR="002173AE">
        <w:t xml:space="preserve">.  At the </w:t>
      </w:r>
      <w:proofErr w:type="spellStart"/>
      <w:r w:rsidR="002173AE">
        <w:t>ICTY</w:t>
      </w:r>
      <w:proofErr w:type="spellEnd"/>
      <w:r w:rsidR="002173AE">
        <w:t xml:space="preserve"> </w:t>
      </w:r>
      <w:r>
        <w:t>no mechanisms were developed to make a link between the work done by the courts and the regional constituencies where the victims and perpetrators – expected to reconcile in some magical way - still live.</w:t>
      </w:r>
    </w:p>
    <w:p w14:paraId="78F64DA6" w14:textId="6A17DC26" w:rsidR="00786BCF" w:rsidRDefault="00786BCF" w:rsidP="0030451D">
      <w:pPr>
        <w:pStyle w:val="Paragraph"/>
      </w:pPr>
      <w:r>
        <w:t xml:space="preserve">There is no doubt that reconciliation processes in post-conflict societies following a peace settlement and in the absence of violent conflict </w:t>
      </w:r>
      <w:r w:rsidRPr="00DF3229">
        <w:rPr>
          <w:lang w:val="en-US"/>
        </w:rPr>
        <w:t>are</w:t>
      </w:r>
      <w:r w:rsidR="004A73D5">
        <w:t xml:space="preserve"> of utmost importance.  The question of relevance is -</w:t>
      </w:r>
      <w:r>
        <w:t xml:space="preserve"> can reconciliation be facilitated by a criminal court, national or international? </w:t>
      </w:r>
    </w:p>
    <w:p w14:paraId="1C0DDCA8" w14:textId="085ADE08" w:rsidR="00786BCF" w:rsidRDefault="004A73D5" w:rsidP="0030451D">
      <w:pPr>
        <w:pStyle w:val="Paragraph"/>
      </w:pPr>
      <w:r>
        <w:t>There are several possible answers to this question?</w:t>
      </w:r>
    </w:p>
    <w:p w14:paraId="5AD6DC8A" w14:textId="707AFA38" w:rsidR="00786BCF" w:rsidRDefault="00786BCF" w:rsidP="0030451D">
      <w:pPr>
        <w:pStyle w:val="Paragraph"/>
        <w:rPr>
          <w:lang w:val="en-US"/>
        </w:rPr>
      </w:pPr>
      <w:r>
        <w:t xml:space="preserve">First, legal procedures, legal discourse, and the legal narrative are not readily understood by the lay public generally or the local communities, for whom the </w:t>
      </w:r>
      <w:proofErr w:type="spellStart"/>
      <w:r>
        <w:t>ICTY</w:t>
      </w:r>
      <w:proofErr w:type="spellEnd"/>
      <w:r>
        <w:t xml:space="preserve"> administers justice.  The international criminal justice system is a normative system with strict rules and procedures, specific legal theories, lengthy court sessions, and language barriers that make many aspects of it inaccessible for local communities.  The fact that proceedings have been held abroad and through interpretation makes accessibility and appreciation of The Hague’s justice additionally complicated.  Regional media coverage has not been adequate and there is no real reason why it should be.  The fact that, so far, topics covered by the regional media </w:t>
      </w:r>
      <w:r>
        <w:lastRenderedPageBreak/>
        <w:t xml:space="preserve">were episodic and reactive to events - such as the capturing of the fugitives or pronouncing of judgments - reveals basic shortcomings of the functioning of the </w:t>
      </w:r>
      <w:proofErr w:type="spellStart"/>
      <w:r>
        <w:t>ICTY’s</w:t>
      </w:r>
      <w:proofErr w:type="spellEnd"/>
      <w:r>
        <w:t xml:space="preserve"> Outreach Office.  The </w:t>
      </w:r>
      <w:proofErr w:type="spellStart"/>
      <w:r>
        <w:t>ICTY</w:t>
      </w:r>
      <w:proofErr w:type="spellEnd"/>
      <w:r>
        <w:t xml:space="preserve"> is a legal institution serving a region with a specific legal culture - or lack of legal culture.  In consequence the </w:t>
      </w:r>
      <w:proofErr w:type="spellStart"/>
      <w:r>
        <w:t>ICTY</w:t>
      </w:r>
      <w:proofErr w:type="spellEnd"/>
      <w:r>
        <w:t xml:space="preserve"> should have been involved through its own information dissemination office </w:t>
      </w:r>
      <w:r w:rsidR="00044633">
        <w:t xml:space="preserve">– the </w:t>
      </w:r>
      <w:proofErr w:type="spellStart"/>
      <w:r w:rsidR="00044633">
        <w:t>ICTY</w:t>
      </w:r>
      <w:proofErr w:type="spellEnd"/>
      <w:r w:rsidR="00044633">
        <w:t xml:space="preserve"> Outreach Program - </w:t>
      </w:r>
      <w:r>
        <w:t xml:space="preserve">in informing and educating </w:t>
      </w:r>
      <w:r w:rsidR="00044633">
        <w:t xml:space="preserve">public in the region with no previous knowledge or understanding of the adversarial legal system.  </w:t>
      </w:r>
      <w:r w:rsidR="00936A5D">
        <w:t xml:space="preserve">The </w:t>
      </w:r>
      <w:proofErr w:type="spellStart"/>
      <w:r w:rsidR="00936A5D">
        <w:t>IC</w:t>
      </w:r>
      <w:r>
        <w:t>TY</w:t>
      </w:r>
      <w:proofErr w:type="spellEnd"/>
      <w:r>
        <w:t xml:space="preserve"> Outreach Office was formed in 1999, but has never been financed from the </w:t>
      </w:r>
      <w:proofErr w:type="spellStart"/>
      <w:r>
        <w:t>ICTY’s</w:t>
      </w:r>
      <w:proofErr w:type="spellEnd"/>
      <w:r>
        <w:t xml:space="preserve"> annual budget, only by external donations.  It remained a small office with a small staff </w:t>
      </w:r>
      <w:r w:rsidR="00936A5D">
        <w:t xml:space="preserve">and a huge mandate to fulfil.  </w:t>
      </w:r>
      <w:r>
        <w:t xml:space="preserve">Even 15 years later, </w:t>
      </w:r>
      <w:proofErr w:type="spellStart"/>
      <w:r>
        <w:t>ICTY</w:t>
      </w:r>
      <w:proofErr w:type="spellEnd"/>
      <w:r>
        <w:t xml:space="preserve"> Outreach is not expanding proportionately with demands from beyond the Tribunal for more information.  This is not merely a question of a budget, but a demonstration of the </w:t>
      </w:r>
      <w:proofErr w:type="spellStart"/>
      <w:r>
        <w:t>UN’s</w:t>
      </w:r>
      <w:proofErr w:type="spellEnd"/>
      <w:r>
        <w:t xml:space="preserve"> general, and the </w:t>
      </w:r>
      <w:proofErr w:type="spellStart"/>
      <w:r>
        <w:t>ICTY’s</w:t>
      </w:r>
      <w:proofErr w:type="spellEnd"/>
      <w:r>
        <w:t xml:space="preserve"> particular, propensity to control the public narrative, often achieved by minimising contacts with the outside world and identifying as topics of public interest those which were perceived as not-controversial for the image of the institution. </w:t>
      </w:r>
    </w:p>
    <w:p w14:paraId="7FD78D38" w14:textId="07C7CA2C" w:rsidR="00786BCF" w:rsidRDefault="00786BCF" w:rsidP="0030451D">
      <w:pPr>
        <w:pStyle w:val="Paragraph"/>
      </w:pPr>
      <w:r>
        <w:rPr>
          <w:lang w:val="en-US"/>
        </w:rPr>
        <w:t>Secondly,</w:t>
      </w:r>
      <w:r w:rsidR="00044633">
        <w:t xml:space="preserve"> in seeking to establish</w:t>
      </w:r>
      <w:r>
        <w:t xml:space="preserve"> truth – or at least a more reliable narrative - through criminal proceedings that might lead to mutual acceptance of what had hap</w:t>
      </w:r>
      <w:r w:rsidR="00C86FAA">
        <w:t>pened in the past, it has to be</w:t>
      </w:r>
      <w:r>
        <w:t xml:space="preserve"> keep in mind that the courtroom narrative in every t</w:t>
      </w:r>
      <w:r w:rsidR="00C86FAA">
        <w:t>rial consists of at least two ‘t</w:t>
      </w:r>
      <w:r>
        <w:t>ruths’: a Prosecution and a Defence ‘Truth(s)’ – neither (none) of which may be accurate.  This has been reinforced by the nature of the adversarial legal where the parties are not interested in truth but in proving their case beyond reasonable doubt, or ‘disproving’ it by creating doubt about the other side’s narrative, and eventually winning the case.</w:t>
      </w:r>
      <w:r>
        <w:rPr>
          <w:lang w:val="en-US"/>
        </w:rPr>
        <w:t xml:space="preserve"> </w:t>
      </w:r>
    </w:p>
    <w:p w14:paraId="0B519D8D" w14:textId="0120CD83" w:rsidR="00786BCF" w:rsidRDefault="00786BCF" w:rsidP="0030451D">
      <w:pPr>
        <w:pStyle w:val="Paragraph"/>
      </w:pPr>
      <w:r>
        <w:t xml:space="preserve">Finally, the </w:t>
      </w:r>
      <w:proofErr w:type="spellStart"/>
      <w:r>
        <w:t>ICTY</w:t>
      </w:r>
      <w:proofErr w:type="spellEnd"/>
      <w:r>
        <w:t>, despite all this, could be seen as an institution creating and providing components of Truth and Justice as discussed earlier.  In its 20</w:t>
      </w:r>
      <w:r>
        <w:rPr>
          <w:lang w:val="en-US"/>
        </w:rPr>
        <w:t>-</w:t>
      </w:r>
      <w:r>
        <w:t>year long tenure it produced probably the most comprehensive recor</w:t>
      </w:r>
      <w:r w:rsidR="00044633">
        <w:t>d ever of any conflict.</w:t>
      </w:r>
      <w:r>
        <w:t xml:space="preserve">  It is hard now to imagine any historical account of the period without inclusion of evidence from the </w:t>
      </w:r>
      <w:proofErr w:type="spellStart"/>
      <w:r>
        <w:t>ICTY</w:t>
      </w:r>
      <w:proofErr w:type="spellEnd"/>
      <w:r>
        <w:t xml:space="preserve"> record.  This record, vast as it is consisting of evidence from more than one hundred individual trials, is not easily or readily accessible for outside users.  One of the biggest immediate tasks is how to make this record more accessible to the general public.</w:t>
      </w:r>
    </w:p>
    <w:p w14:paraId="5515D59B" w14:textId="3B75D98A" w:rsidR="00786BCF" w:rsidRDefault="00786BCF" w:rsidP="0030451D">
      <w:pPr>
        <w:pStyle w:val="Paragraph"/>
      </w:pPr>
      <w:r>
        <w:t xml:space="preserve">There </w:t>
      </w:r>
      <w:r w:rsidR="00044633">
        <w:t xml:space="preserve">is also a debate on the topic </w:t>
      </w:r>
      <w:r>
        <w:t xml:space="preserve">why the </w:t>
      </w:r>
      <w:proofErr w:type="spellStart"/>
      <w:r>
        <w:t>ICTY</w:t>
      </w:r>
      <w:proofErr w:type="spellEnd"/>
      <w:r>
        <w:t xml:space="preserve"> could not be seen as the institution to advance reconciliation by contributing to Truth and Justice.  One argument is that the </w:t>
      </w:r>
      <w:proofErr w:type="spellStart"/>
      <w:r>
        <w:t>ICTY</w:t>
      </w:r>
      <w:proofErr w:type="spellEnd"/>
      <w:r>
        <w:t xml:space="preserve"> has been exposed to all sorts of internal and external political influences and as such has been used by individual states for their particular political ends.  The most obvious goal </w:t>
      </w:r>
      <w:r w:rsidR="0073452A">
        <w:t xml:space="preserve">of the </w:t>
      </w:r>
      <w:r w:rsidR="0073452A">
        <w:lastRenderedPageBreak/>
        <w:t xml:space="preserve">outside parties has been </w:t>
      </w:r>
      <w:r>
        <w:t xml:space="preserve">to control </w:t>
      </w:r>
      <w:r w:rsidR="00044633">
        <w:t xml:space="preserve">conflict and </w:t>
      </w:r>
      <w:r>
        <w:t>trial narratives through influencing the scope of trials, indictments policies, (</w:t>
      </w:r>
      <w:proofErr w:type="gramStart"/>
      <w:r>
        <w:t>non)production</w:t>
      </w:r>
      <w:proofErr w:type="gramEnd"/>
      <w:r>
        <w:t xml:space="preserve"> of evidence, access to witnesses and by influencing Judgments. </w:t>
      </w:r>
      <w:r w:rsidR="0073452A">
        <w:t xml:space="preserve"> </w:t>
      </w:r>
      <w:r>
        <w:t xml:space="preserve">This was not done only by </w:t>
      </w:r>
      <w:proofErr w:type="spellStart"/>
      <w:r>
        <w:t>SFRY</w:t>
      </w:r>
      <w:proofErr w:type="spellEnd"/>
      <w:r>
        <w:t xml:space="preserve"> successor states, Serbia as prime example, but also by the UN and individual states involved in the war.  </w:t>
      </w:r>
      <w:r w:rsidR="00CC3D4C">
        <w:t xml:space="preserve">The </w:t>
      </w:r>
      <w:r>
        <w:t xml:space="preserve">Srebrenica </w:t>
      </w:r>
      <w:r w:rsidR="00CC3D4C">
        <w:t xml:space="preserve">genocide </w:t>
      </w:r>
      <w:r>
        <w:t xml:space="preserve">is a good example of how different parties had overlapping interests in obscuring the truth. </w:t>
      </w:r>
      <w:r w:rsidR="0073452A">
        <w:t xml:space="preserve"> </w:t>
      </w:r>
      <w:r>
        <w:t xml:space="preserve">Individual UN states with advanced intelligence capabilities, which had a presence on the ground prior to the take over of Srebrenica, might hold evidence revealing pre-knowledge of the crimes being committed.  They could, in consequence, have found themselves being held responsible under international law for inactivity given the duty of all states to prevent any genocide, such as was to unfold in Srebrenica in 1995.  The same applies to the UN peacekeepers </w:t>
      </w:r>
      <w:proofErr w:type="gramStart"/>
      <w:r>
        <w:t>who</w:t>
      </w:r>
      <w:proofErr w:type="gramEnd"/>
      <w:r>
        <w:t xml:space="preserve"> did nothing to prevent the Serb forces taking away boys and men from Srebrenica in the summer of 1995.  Serbia’s more obvious interest was in obscuring its role in planning and executing crimes in </w:t>
      </w:r>
      <w:proofErr w:type="spellStart"/>
      <w:r>
        <w:t>BiH</w:t>
      </w:r>
      <w:proofErr w:type="spellEnd"/>
      <w:r>
        <w:t xml:space="preserve">, calculating that a form of internationally acceptable justice could be done if all responsibility for all political and military crimes in </w:t>
      </w:r>
      <w:proofErr w:type="spellStart"/>
      <w:r w:rsidR="00CC3D4C">
        <w:t>BiH</w:t>
      </w:r>
      <w:proofErr w:type="spellEnd"/>
      <w:r w:rsidR="00CC3D4C">
        <w:t xml:space="preserve"> should remain with the </w:t>
      </w:r>
      <w:proofErr w:type="spellStart"/>
      <w:r w:rsidR="00CC3D4C">
        <w:t>Repu</w:t>
      </w:r>
      <w:r>
        <w:t>b</w:t>
      </w:r>
      <w:r w:rsidR="00CC3D4C">
        <w:t>l</w:t>
      </w:r>
      <w:r>
        <w:t>ika</w:t>
      </w:r>
      <w:proofErr w:type="spellEnd"/>
      <w:r>
        <w:t xml:space="preserve"> </w:t>
      </w:r>
      <w:proofErr w:type="spellStart"/>
      <w:r>
        <w:t>Srpska</w:t>
      </w:r>
      <w:proofErr w:type="spellEnd"/>
      <w:r>
        <w:t xml:space="preserve"> (RS) and its army (VRS). </w:t>
      </w:r>
    </w:p>
    <w:p w14:paraId="41B07BAB" w14:textId="076E9669" w:rsidR="00786BCF" w:rsidRDefault="00786BCF" w:rsidP="0030451D">
      <w:pPr>
        <w:pStyle w:val="Paragraph"/>
      </w:pPr>
      <w:r w:rsidRPr="00FD63B5">
        <w:t xml:space="preserve">In the aftermath of </w:t>
      </w:r>
      <w:r w:rsidR="00CC3D4C">
        <w:t xml:space="preserve">the </w:t>
      </w:r>
      <w:r w:rsidRPr="00FD63B5">
        <w:t>Srebrenica</w:t>
      </w:r>
      <w:r w:rsidR="00CC3D4C">
        <w:t xml:space="preserve"> genocide</w:t>
      </w:r>
      <w:r w:rsidRPr="00FD63B5">
        <w:t xml:space="preserve">, in 1995, the </w:t>
      </w:r>
      <w:proofErr w:type="spellStart"/>
      <w:r w:rsidRPr="00FD63B5">
        <w:t>ICTY</w:t>
      </w:r>
      <w:proofErr w:type="spellEnd"/>
      <w:r w:rsidRPr="00FD63B5">
        <w:t xml:space="preserve"> indicted the RS political leader Radovan </w:t>
      </w:r>
      <w:proofErr w:type="spellStart"/>
      <w:r w:rsidRPr="00FD63B5">
        <w:t>Karad</w:t>
      </w:r>
      <w:proofErr w:type="spellEnd"/>
      <w:r w:rsidRPr="00FD63B5">
        <w:rPr>
          <w:lang w:val="hr-HR"/>
        </w:rPr>
        <w:t>žić and the Chief of Staff of its army, the VRS, General Ratko Mladić with atrocities committed in the war in BiH, including crimes of genocide.</w:t>
      </w:r>
      <w:r w:rsidRPr="00FD63B5">
        <w:rPr>
          <w:rStyle w:val="FootnoteReference"/>
          <w:lang w:val="hr-HR"/>
        </w:rPr>
        <w:footnoteReference w:id="19"/>
      </w:r>
      <w:r w:rsidRPr="00FD63B5">
        <w:t xml:space="preserve"> </w:t>
      </w:r>
      <w:r>
        <w:t xml:space="preserve"> </w:t>
      </w:r>
      <w:r w:rsidRPr="00FD63B5">
        <w:t xml:space="preserve">Other indictments followed, including of the VRS General </w:t>
      </w:r>
      <w:proofErr w:type="spellStart"/>
      <w:r w:rsidRPr="00FD63B5">
        <w:t>Radislav</w:t>
      </w:r>
      <w:proofErr w:type="spellEnd"/>
      <w:r w:rsidRPr="00FD63B5">
        <w:t xml:space="preserve"> </w:t>
      </w:r>
      <w:proofErr w:type="spellStart"/>
      <w:r w:rsidRPr="00FD63B5">
        <w:t>Krstić</w:t>
      </w:r>
      <w:proofErr w:type="spellEnd"/>
      <w:r w:rsidRPr="00FD63B5">
        <w:t xml:space="preserve">, General </w:t>
      </w:r>
      <w:proofErr w:type="spellStart"/>
      <w:r w:rsidRPr="00FD63B5">
        <w:t>Zdravko</w:t>
      </w:r>
      <w:proofErr w:type="spellEnd"/>
      <w:r w:rsidRPr="00FD63B5">
        <w:t xml:space="preserve"> </w:t>
      </w:r>
      <w:proofErr w:type="spellStart"/>
      <w:r w:rsidRPr="00FD63B5">
        <w:t>Tolimir</w:t>
      </w:r>
      <w:proofErr w:type="spellEnd"/>
      <w:r w:rsidRPr="00FD63B5">
        <w:t xml:space="preserve">, General </w:t>
      </w:r>
      <w:proofErr w:type="spellStart"/>
      <w:r w:rsidRPr="00FD63B5">
        <w:t>Vujadin</w:t>
      </w:r>
      <w:proofErr w:type="spellEnd"/>
      <w:r w:rsidRPr="00FD63B5">
        <w:t xml:space="preserve"> </w:t>
      </w:r>
      <w:proofErr w:type="spellStart"/>
      <w:proofErr w:type="gramStart"/>
      <w:r w:rsidRPr="00FD63B5">
        <w:t>Popović</w:t>
      </w:r>
      <w:proofErr w:type="spellEnd"/>
      <w:proofErr w:type="gramEnd"/>
      <w:r w:rsidRPr="00FD63B5">
        <w:t xml:space="preserve"> and others.</w:t>
      </w:r>
      <w:r w:rsidRPr="00FD63B5">
        <w:rPr>
          <w:rStyle w:val="FootnoteReference"/>
        </w:rPr>
        <w:footnoteReference w:id="20"/>
      </w:r>
      <w:r w:rsidRPr="00FD63B5">
        <w:t xml:space="preserve"> </w:t>
      </w:r>
      <w:r>
        <w:t xml:space="preserve"> </w:t>
      </w:r>
      <w:r w:rsidRPr="00FD63B5">
        <w:t xml:space="preserve">The trials were held at the </w:t>
      </w:r>
      <w:proofErr w:type="spellStart"/>
      <w:r w:rsidRPr="00FD63B5">
        <w:t>ICTY</w:t>
      </w:r>
      <w:proofErr w:type="spellEnd"/>
      <w:r w:rsidRPr="00FD63B5">
        <w:t xml:space="preserve"> and subsequent convictions of some of the </w:t>
      </w:r>
      <w:proofErr w:type="spellStart"/>
      <w:r w:rsidRPr="00FD63B5">
        <w:t>indictees</w:t>
      </w:r>
      <w:proofErr w:type="spellEnd"/>
      <w:r w:rsidRPr="00FD63B5">
        <w:t xml:space="preserve"> to life imprisonment for crimes of genocide, or for aiding and abetting genocide, have left an important record about individual </w:t>
      </w:r>
      <w:r>
        <w:t xml:space="preserve">criminal </w:t>
      </w:r>
      <w:r w:rsidRPr="00FD63B5">
        <w:t xml:space="preserve">responsibility and about the nature of the crimes committed in </w:t>
      </w:r>
      <w:proofErr w:type="spellStart"/>
      <w:r w:rsidRPr="00FD63B5">
        <w:t>BiH</w:t>
      </w:r>
      <w:proofErr w:type="spellEnd"/>
      <w:r w:rsidRPr="00FD63B5">
        <w:t xml:space="preserve"> against Bosnian Muslims.  What is remarkable from the perspective of the </w:t>
      </w:r>
      <w:proofErr w:type="spellStart"/>
      <w:r w:rsidRPr="00FD63B5">
        <w:t>ICTY</w:t>
      </w:r>
      <w:proofErr w:type="spellEnd"/>
      <w:r w:rsidRPr="00FD63B5">
        <w:t xml:space="preserve"> record of mass atrocities in </w:t>
      </w:r>
      <w:proofErr w:type="spellStart"/>
      <w:r w:rsidRPr="00FD63B5">
        <w:t>BiH</w:t>
      </w:r>
      <w:proofErr w:type="spellEnd"/>
      <w:r w:rsidRPr="00FD63B5">
        <w:t xml:space="preserve"> is that, save for Milo</w:t>
      </w:r>
      <w:r w:rsidRPr="00FD63B5">
        <w:rPr>
          <w:lang w:val="hr-HR"/>
        </w:rPr>
        <w:t>š</w:t>
      </w:r>
      <w:proofErr w:type="spellStart"/>
      <w:r w:rsidRPr="00FD63B5">
        <w:t>ević</w:t>
      </w:r>
      <w:proofErr w:type="spellEnd"/>
      <w:r w:rsidRPr="00FD63B5">
        <w:t xml:space="preserve"> who died in 2006 before his trial finished, no other individual from </w:t>
      </w:r>
      <w:r>
        <w:t xml:space="preserve">the </w:t>
      </w:r>
      <w:r w:rsidRPr="00FD63B5">
        <w:t>F</w:t>
      </w:r>
      <w:r>
        <w:t xml:space="preserve">ederal </w:t>
      </w:r>
      <w:r w:rsidRPr="00FD63B5">
        <w:t>R</w:t>
      </w:r>
      <w:r>
        <w:t xml:space="preserve">epublic of </w:t>
      </w:r>
      <w:r w:rsidRPr="00FD63B5">
        <w:t>Y</w:t>
      </w:r>
      <w:r>
        <w:t>ugoslavia (FRY)</w:t>
      </w:r>
      <w:r w:rsidRPr="00FD63B5">
        <w:t xml:space="preserve"> </w:t>
      </w:r>
      <w:r>
        <w:t xml:space="preserve">or from Serbia </w:t>
      </w:r>
      <w:r w:rsidRPr="00FD63B5">
        <w:t xml:space="preserve">has been indicted for the crime of </w:t>
      </w:r>
      <w:r w:rsidRPr="00FD63B5">
        <w:lastRenderedPageBreak/>
        <w:t>genocide.</w:t>
      </w:r>
      <w:r w:rsidRPr="00FD63B5">
        <w:rPr>
          <w:rStyle w:val="FootnoteReference"/>
        </w:rPr>
        <w:footnoteReference w:id="21"/>
      </w:r>
      <w:r w:rsidRPr="00FD63B5">
        <w:t xml:space="preserve"> </w:t>
      </w:r>
      <w:r>
        <w:t xml:space="preserve"> </w:t>
      </w:r>
      <w:r w:rsidRPr="00FD63B5">
        <w:t xml:space="preserve">Two </w:t>
      </w:r>
      <w:proofErr w:type="spellStart"/>
      <w:r w:rsidRPr="00FD63B5">
        <w:t>ICTY</w:t>
      </w:r>
      <w:proofErr w:type="spellEnd"/>
      <w:r w:rsidRPr="00FD63B5">
        <w:t xml:space="preserve"> cases </w:t>
      </w:r>
      <w:r>
        <w:t xml:space="preserve">conducted against </w:t>
      </w:r>
      <w:r w:rsidRPr="00FD63B5">
        <w:t xml:space="preserve">former highly placed officials in the </w:t>
      </w:r>
      <w:r>
        <w:t xml:space="preserve">federal and republican state bureaucracies, </w:t>
      </w:r>
      <w:r w:rsidRPr="0049007B">
        <w:rPr>
          <w:i/>
        </w:rPr>
        <w:t xml:space="preserve">Prosecutor v. </w:t>
      </w:r>
      <w:proofErr w:type="spellStart"/>
      <w:r w:rsidRPr="0049007B">
        <w:rPr>
          <w:i/>
        </w:rPr>
        <w:t>Momčilo</w:t>
      </w:r>
      <w:proofErr w:type="spellEnd"/>
      <w:r w:rsidRPr="0049007B">
        <w:rPr>
          <w:i/>
        </w:rPr>
        <w:t xml:space="preserve"> </w:t>
      </w:r>
      <w:proofErr w:type="spellStart"/>
      <w:r w:rsidRPr="0049007B">
        <w:rPr>
          <w:i/>
        </w:rPr>
        <w:t>Perišić</w:t>
      </w:r>
      <w:proofErr w:type="spellEnd"/>
      <w:r w:rsidRPr="0049007B">
        <w:rPr>
          <w:i/>
        </w:rPr>
        <w:t xml:space="preserve"> </w:t>
      </w:r>
      <w:r w:rsidRPr="00FD63B5">
        <w:t xml:space="preserve">and </w:t>
      </w:r>
      <w:r w:rsidRPr="00900F4C">
        <w:rPr>
          <w:i/>
        </w:rPr>
        <w:t>P</w:t>
      </w:r>
      <w:r w:rsidRPr="0049007B">
        <w:rPr>
          <w:i/>
        </w:rPr>
        <w:t xml:space="preserve">rosecutor v. </w:t>
      </w:r>
      <w:proofErr w:type="spellStart"/>
      <w:r w:rsidRPr="0049007B">
        <w:rPr>
          <w:i/>
        </w:rPr>
        <w:t>Jovica</w:t>
      </w:r>
      <w:proofErr w:type="spellEnd"/>
      <w:r w:rsidRPr="0049007B">
        <w:rPr>
          <w:i/>
        </w:rPr>
        <w:t xml:space="preserve"> </w:t>
      </w:r>
      <w:proofErr w:type="spellStart"/>
      <w:r w:rsidRPr="0049007B">
        <w:rPr>
          <w:i/>
        </w:rPr>
        <w:t>Stanišić</w:t>
      </w:r>
      <w:proofErr w:type="spellEnd"/>
      <w:r w:rsidRPr="0049007B">
        <w:rPr>
          <w:i/>
        </w:rPr>
        <w:t xml:space="preserve"> and </w:t>
      </w:r>
      <w:proofErr w:type="spellStart"/>
      <w:r w:rsidRPr="0049007B">
        <w:rPr>
          <w:i/>
        </w:rPr>
        <w:t>Franko</w:t>
      </w:r>
      <w:proofErr w:type="spellEnd"/>
      <w:r w:rsidRPr="0049007B">
        <w:rPr>
          <w:i/>
        </w:rPr>
        <w:t xml:space="preserve"> </w:t>
      </w:r>
      <w:proofErr w:type="spellStart"/>
      <w:r w:rsidRPr="0049007B">
        <w:rPr>
          <w:i/>
        </w:rPr>
        <w:t>Simatović</w:t>
      </w:r>
      <w:proofErr w:type="spellEnd"/>
      <w:r w:rsidRPr="00FD63B5">
        <w:t xml:space="preserve">, did include Srebrenica in the </w:t>
      </w:r>
      <w:r>
        <w:t>indictments</w:t>
      </w:r>
      <w:r w:rsidRPr="00FD63B5">
        <w:t xml:space="preserve"> </w:t>
      </w:r>
      <w:r>
        <w:t>-</w:t>
      </w:r>
      <w:r w:rsidRPr="00FD63B5">
        <w:t xml:space="preserve"> </w:t>
      </w:r>
      <w:r>
        <w:t xml:space="preserve">not for the crime of genocide but </w:t>
      </w:r>
      <w:r w:rsidRPr="00FD63B5">
        <w:t>for crimes against humanity</w:t>
      </w:r>
      <w:r>
        <w:t>.</w:t>
      </w:r>
      <w:r w:rsidRPr="00FD63B5">
        <w:rPr>
          <w:rStyle w:val="FootnoteReference"/>
        </w:rPr>
        <w:footnoteReference w:id="22"/>
      </w:r>
      <w:r w:rsidRPr="00FD63B5">
        <w:t xml:space="preserve"> </w:t>
      </w:r>
      <w:r>
        <w:t xml:space="preserve"> Eventually, t</w:t>
      </w:r>
      <w:r w:rsidRPr="00FD63B5">
        <w:t xml:space="preserve">he </w:t>
      </w:r>
      <w:proofErr w:type="spellStart"/>
      <w:r w:rsidRPr="00FD63B5">
        <w:t>ICTY</w:t>
      </w:r>
      <w:proofErr w:type="spellEnd"/>
      <w:r w:rsidRPr="00FD63B5">
        <w:t xml:space="preserve"> Appeals Chamber Judgment acquitted</w:t>
      </w:r>
      <w:r>
        <w:t xml:space="preserve"> </w:t>
      </w:r>
      <w:r w:rsidRPr="00FD63B5">
        <w:t xml:space="preserve">General </w:t>
      </w:r>
      <w:proofErr w:type="spellStart"/>
      <w:r w:rsidRPr="00FD63B5">
        <w:t>Momčilo</w:t>
      </w:r>
      <w:proofErr w:type="spellEnd"/>
      <w:r w:rsidRPr="00FD63B5">
        <w:t xml:space="preserve"> </w:t>
      </w:r>
      <w:proofErr w:type="spellStart"/>
      <w:r w:rsidRPr="00FD63B5">
        <w:t>Perišić</w:t>
      </w:r>
      <w:proofErr w:type="spellEnd"/>
      <w:r w:rsidRPr="00FD63B5">
        <w:t>, the Chief of Staff of the Army of Yugoslavia from 1993 to 1998, of all charges on 28 February 2013.</w:t>
      </w:r>
      <w:r w:rsidRPr="00FD63B5">
        <w:rPr>
          <w:rStyle w:val="FootnoteReference"/>
        </w:rPr>
        <w:footnoteReference w:id="23"/>
      </w:r>
      <w:r w:rsidRPr="00FD63B5">
        <w:t xml:space="preserve">  This very significant judg</w:t>
      </w:r>
      <w:r>
        <w:t>e</w:t>
      </w:r>
      <w:r w:rsidRPr="00FD63B5">
        <w:t>ment, received in Serbia with cheers, allow</w:t>
      </w:r>
      <w:r>
        <w:t xml:space="preserve">s </w:t>
      </w:r>
      <w:r w:rsidRPr="00FD63B5">
        <w:t xml:space="preserve">his acquittal to be seen as exoneration </w:t>
      </w:r>
      <w:r>
        <w:t xml:space="preserve">not only for him personally but </w:t>
      </w:r>
      <w:r w:rsidRPr="00FD63B5">
        <w:t>more generally for Serbia.</w:t>
      </w:r>
      <w:r w:rsidRPr="00FD63B5">
        <w:rPr>
          <w:rStyle w:val="FootnoteReference"/>
        </w:rPr>
        <w:footnoteReference w:id="24"/>
      </w:r>
      <w:r>
        <w:t xml:space="preserve">  </w:t>
      </w:r>
    </w:p>
    <w:p w14:paraId="2A85193A" w14:textId="11403998" w:rsidR="00786BCF" w:rsidRDefault="0073452A" w:rsidP="0030451D">
      <w:pPr>
        <w:pStyle w:val="Paragraph"/>
      </w:pPr>
      <w:r>
        <w:t xml:space="preserve">Another important judgment for Serbia was the judgment in the </w:t>
      </w:r>
      <w:proofErr w:type="spellStart"/>
      <w:r w:rsidR="00786BCF" w:rsidRPr="0073452A">
        <w:rPr>
          <w:i/>
        </w:rPr>
        <w:t>Stani</w:t>
      </w:r>
      <w:proofErr w:type="spellEnd"/>
      <w:r w:rsidR="00786BCF" w:rsidRPr="0073452A">
        <w:rPr>
          <w:i/>
          <w:lang w:val="hr-HR"/>
        </w:rPr>
        <w:t>š</w:t>
      </w:r>
      <w:proofErr w:type="spellStart"/>
      <w:r w:rsidR="00786BCF" w:rsidRPr="0073452A">
        <w:rPr>
          <w:i/>
        </w:rPr>
        <w:t>ić</w:t>
      </w:r>
      <w:r w:rsidRPr="0073452A">
        <w:rPr>
          <w:i/>
        </w:rPr>
        <w:t>&amp;</w:t>
      </w:r>
      <w:r w:rsidR="00786BCF" w:rsidRPr="0073452A">
        <w:rPr>
          <w:i/>
        </w:rPr>
        <w:t>Simatović</w:t>
      </w:r>
      <w:proofErr w:type="spellEnd"/>
      <w:r w:rsidR="00786BCF" w:rsidRPr="0073452A">
        <w:rPr>
          <w:i/>
        </w:rPr>
        <w:t xml:space="preserve"> </w:t>
      </w:r>
      <w:r>
        <w:t>case</w:t>
      </w:r>
      <w:proofErr w:type="gramStart"/>
      <w:r>
        <w:t xml:space="preserve">, </w:t>
      </w:r>
      <w:r w:rsidR="00A113B0">
        <w:t xml:space="preserve"> </w:t>
      </w:r>
      <w:r>
        <w:t>that</w:t>
      </w:r>
      <w:proofErr w:type="gramEnd"/>
      <w:r>
        <w:t xml:space="preserve"> </w:t>
      </w:r>
      <w:r w:rsidR="00D01285">
        <w:t xml:space="preserve">was </w:t>
      </w:r>
      <w:r>
        <w:t xml:space="preserve">pronounced in May 2013.  To </w:t>
      </w:r>
      <w:r w:rsidR="00460BA4">
        <w:t>the disbelief of many</w:t>
      </w:r>
      <w:r w:rsidR="00A113B0">
        <w:t>,</w:t>
      </w:r>
      <w:r w:rsidR="00460BA4">
        <w:t xml:space="preserve"> and to the</w:t>
      </w:r>
      <w:r>
        <w:t xml:space="preserve"> great disappointment of the victims, </w:t>
      </w:r>
      <w:proofErr w:type="spellStart"/>
      <w:r>
        <w:t>Jovica</w:t>
      </w:r>
      <w:proofErr w:type="spellEnd"/>
      <w:r>
        <w:t xml:space="preserve"> </w:t>
      </w:r>
      <w:proofErr w:type="spellStart"/>
      <w:r>
        <w:t>Stanišić</w:t>
      </w:r>
      <w:proofErr w:type="spellEnd"/>
      <w:r>
        <w:t>, the long-term Head of the Serbian State Security Department (the DB</w:t>
      </w:r>
      <w:r>
        <w:rPr>
          <w:lang w:val="en-US"/>
        </w:rPr>
        <w:t xml:space="preserve">) </w:t>
      </w:r>
      <w:r w:rsidR="00460BA4">
        <w:t xml:space="preserve">and </w:t>
      </w:r>
      <w:proofErr w:type="spellStart"/>
      <w:r>
        <w:t>Franko</w:t>
      </w:r>
      <w:proofErr w:type="spellEnd"/>
      <w:r>
        <w:t xml:space="preserve"> </w:t>
      </w:r>
      <w:proofErr w:type="spellStart"/>
      <w:r>
        <w:t>Simatovi</w:t>
      </w:r>
      <w:proofErr w:type="spellEnd"/>
      <w:r>
        <w:rPr>
          <w:lang w:val="hr-HR"/>
        </w:rPr>
        <w:t>ć, the Comma</w:t>
      </w:r>
      <w:r w:rsidR="00A113B0">
        <w:rPr>
          <w:lang w:val="hr-HR"/>
        </w:rPr>
        <w:t>n</w:t>
      </w:r>
      <w:r>
        <w:rPr>
          <w:lang w:val="hr-HR"/>
        </w:rPr>
        <w:t>der of the Units for Special Operaitons of the</w:t>
      </w:r>
      <w:r w:rsidR="00A113B0">
        <w:rPr>
          <w:lang w:val="hr-HR"/>
        </w:rPr>
        <w:t xml:space="preserve"> DB (JSO), were acquitted in a</w:t>
      </w:r>
      <w:r>
        <w:rPr>
          <w:lang w:val="hr-HR"/>
        </w:rPr>
        <w:t xml:space="preserve"> first instance judgment of all criminal resonibi</w:t>
      </w:r>
      <w:r w:rsidR="00B92D3F">
        <w:rPr>
          <w:lang w:val="hr-HR"/>
        </w:rPr>
        <w:t>l</w:t>
      </w:r>
      <w:r>
        <w:rPr>
          <w:lang w:val="hr-HR"/>
        </w:rPr>
        <w:t>ity</w:t>
      </w:r>
      <w:r w:rsidR="00A113B0">
        <w:rPr>
          <w:lang w:val="hr-HR"/>
        </w:rPr>
        <w:t xml:space="preserve"> for crimes</w:t>
      </w:r>
      <w:r w:rsidR="00B92D3F">
        <w:rPr>
          <w:lang w:val="hr-HR"/>
        </w:rPr>
        <w:t xml:space="preserve"> the JSO u</w:t>
      </w:r>
      <w:r w:rsidR="00A113B0">
        <w:rPr>
          <w:lang w:val="hr-HR"/>
        </w:rPr>
        <w:t>n</w:t>
      </w:r>
      <w:r w:rsidR="00B92D3F">
        <w:rPr>
          <w:lang w:val="hr-HR"/>
        </w:rPr>
        <w:t xml:space="preserve">it committed in the wars in Croatia and BiH. </w:t>
      </w:r>
      <w:r w:rsidR="00B92D3F">
        <w:t xml:space="preserve"> </w:t>
      </w:r>
      <w:r w:rsidR="00460BA4">
        <w:t>This Judg</w:t>
      </w:r>
      <w:r w:rsidR="00A113B0">
        <w:t>ment, although not necessarily</w:t>
      </w:r>
      <w:r w:rsidR="00786BCF">
        <w:t xml:space="preserve"> final</w:t>
      </w:r>
      <w:r w:rsidR="00460BA4">
        <w:t xml:space="preserve"> because the Prosecution may appeal the decision</w:t>
      </w:r>
      <w:r w:rsidR="00786BCF">
        <w:t xml:space="preserve">, together with </w:t>
      </w:r>
      <w:proofErr w:type="spellStart"/>
      <w:r w:rsidR="00786BCF">
        <w:t>Perišić</w:t>
      </w:r>
      <w:proofErr w:type="spellEnd"/>
      <w:r w:rsidR="00786BCF">
        <w:rPr>
          <w:lang w:val="en-US"/>
        </w:rPr>
        <w:t xml:space="preserve">’s </w:t>
      </w:r>
      <w:r w:rsidR="00460BA4">
        <w:rPr>
          <w:lang w:val="en-US"/>
        </w:rPr>
        <w:t xml:space="preserve">acquittal </w:t>
      </w:r>
      <w:r w:rsidR="00786BCF">
        <w:rPr>
          <w:lang w:val="en-US"/>
        </w:rPr>
        <w:t>will influence</w:t>
      </w:r>
      <w:r w:rsidR="00460BA4">
        <w:rPr>
          <w:lang w:val="en-US"/>
        </w:rPr>
        <w:t xml:space="preserve"> in a major way the </w:t>
      </w:r>
      <w:r w:rsidR="00A113B0">
        <w:rPr>
          <w:lang w:val="en-US"/>
        </w:rPr>
        <w:t>narrative left of</w:t>
      </w:r>
      <w:r w:rsidR="00786BCF">
        <w:rPr>
          <w:lang w:val="en-US"/>
        </w:rPr>
        <w:t xml:space="preserve"> the nature of the involvement of FRY and </w:t>
      </w:r>
      <w:r w:rsidR="00786BCF">
        <w:t>Republic of Serbia</w:t>
      </w:r>
      <w:r w:rsidR="00B92D3F">
        <w:t xml:space="preserve"> in the wars in </w:t>
      </w:r>
      <w:proofErr w:type="spellStart"/>
      <w:r w:rsidR="00B92D3F">
        <w:t>BiH</w:t>
      </w:r>
      <w:proofErr w:type="spellEnd"/>
      <w:r w:rsidR="00B92D3F">
        <w:t xml:space="preserve"> and Croatia. </w:t>
      </w:r>
    </w:p>
    <w:p w14:paraId="48EF6DD3" w14:textId="71773E14" w:rsidR="00786BCF" w:rsidRPr="005D4D4F" w:rsidRDefault="00786BCF" w:rsidP="005D4D4F">
      <w:pPr>
        <w:pStyle w:val="Paragraph"/>
        <w:rPr>
          <w:lang w:val="en-US"/>
        </w:rPr>
      </w:pPr>
      <w:r>
        <w:t>Needless to say, those two judgments were rec</w:t>
      </w:r>
      <w:r w:rsidR="00A113B0">
        <w:t xml:space="preserve">eived very differently among those bereaved by </w:t>
      </w:r>
      <w:r>
        <w:t>the Srebrenica genocide</w:t>
      </w:r>
      <w:r w:rsidR="00A113B0">
        <w:t xml:space="preserve"> or who were survivors of that and other mass atrocities</w:t>
      </w:r>
      <w:r>
        <w:t xml:space="preserve">, demonstrating that legal justice – for whatever reasons - might not tell the full story about a conflict and its human suffering.  </w:t>
      </w:r>
      <w:r w:rsidR="00CC3D4C">
        <w:t xml:space="preserve">It would be difficult to claim that simply by </w:t>
      </w:r>
      <w:r w:rsidR="00A113B0">
        <w:t xml:space="preserve">the </w:t>
      </w:r>
      <w:proofErr w:type="spellStart"/>
      <w:r w:rsidR="00A113B0">
        <w:t>ICTY’s</w:t>
      </w:r>
      <w:proofErr w:type="spellEnd"/>
      <w:r w:rsidR="00A113B0">
        <w:t xml:space="preserve"> </w:t>
      </w:r>
      <w:r w:rsidR="00CC3D4C">
        <w:t>pronouncing judgments the mand</w:t>
      </w:r>
      <w:r w:rsidR="00460BA4">
        <w:t>ate of Justice would be met thus contributing</w:t>
      </w:r>
      <w:r w:rsidR="00CC3D4C">
        <w:t xml:space="preserve"> to Reconciliation.  </w:t>
      </w:r>
      <w:r>
        <w:t xml:space="preserve">If a criminal legal system does not </w:t>
      </w:r>
      <w:r w:rsidR="00460BA4">
        <w:t>deliver judgments that attract acceptance and approval of</w:t>
      </w:r>
      <w:r>
        <w:t xml:space="preserve"> victims and survivors, </w:t>
      </w:r>
      <w:r w:rsidR="005D4D4F">
        <w:t>it does n</w:t>
      </w:r>
      <w:r w:rsidR="00A113B0">
        <w:t>o</w:t>
      </w:r>
      <w:r w:rsidR="005D4D4F">
        <w:t>t</w:t>
      </w:r>
      <w:r w:rsidR="00A113B0">
        <w:t xml:space="preserve"> achieve</w:t>
      </w:r>
      <w:r w:rsidR="005D4D4F">
        <w:t xml:space="preserve"> anything but leaving trial records </w:t>
      </w:r>
      <w:r w:rsidR="005D4D4F">
        <w:lastRenderedPageBreak/>
        <w:t xml:space="preserve">to be studied for generations to come.  </w:t>
      </w:r>
      <w:r w:rsidR="005D4D4F">
        <w:rPr>
          <w:lang w:val="en-US"/>
        </w:rPr>
        <w:t>The risk being that – if a different truth emerges than the one produced by the judgments, narratives coming from studying the trial records might give a different truth, but not necessarily on time to help correct the damage process of reconciliation.</w:t>
      </w:r>
      <w:r w:rsidR="005D504D">
        <w:rPr>
          <w:lang w:val="en-US"/>
        </w:rPr>
        <w:t xml:space="preserve"> </w:t>
      </w:r>
    </w:p>
    <w:p w14:paraId="24550E32" w14:textId="77777777" w:rsidR="00786BCF" w:rsidRPr="0032710C" w:rsidRDefault="00786BCF" w:rsidP="0030451D">
      <w:pPr>
        <w:spacing w:line="360" w:lineRule="auto"/>
        <w:jc w:val="both"/>
        <w:rPr>
          <w:b/>
          <w:i/>
          <w:lang w:val="en-US"/>
        </w:rPr>
      </w:pPr>
      <w:r w:rsidRPr="001F3A37">
        <w:rPr>
          <w:b/>
          <w:i/>
          <w:lang w:val="en-US"/>
        </w:rPr>
        <w:t>References</w:t>
      </w:r>
    </w:p>
    <w:p w14:paraId="6E0E6622" w14:textId="77777777" w:rsidR="00786BCF" w:rsidRPr="000A0B9D" w:rsidRDefault="00786BCF" w:rsidP="001F3A37">
      <w:pPr>
        <w:jc w:val="both"/>
        <w:rPr>
          <w:lang w:val="en-GB"/>
        </w:rPr>
      </w:pPr>
      <w:proofErr w:type="spellStart"/>
      <w:r w:rsidRPr="000A0B9D">
        <w:rPr>
          <w:lang w:val="en-GB"/>
        </w:rPr>
        <w:t>Auerbach</w:t>
      </w:r>
      <w:proofErr w:type="spellEnd"/>
      <w:r w:rsidRPr="000A0B9D">
        <w:rPr>
          <w:lang w:val="en-GB"/>
        </w:rPr>
        <w:t xml:space="preserve">, </w:t>
      </w:r>
      <w:proofErr w:type="spellStart"/>
      <w:r w:rsidRPr="000A0B9D">
        <w:rPr>
          <w:lang w:val="en-GB"/>
        </w:rPr>
        <w:t>Yehudith</w:t>
      </w:r>
      <w:proofErr w:type="spellEnd"/>
      <w:r w:rsidRPr="000A0B9D">
        <w:rPr>
          <w:lang w:val="en-GB"/>
        </w:rPr>
        <w:t xml:space="preserve"> (2004) ‘The Role of Forgiveness in Reconciliation’, in </w:t>
      </w:r>
      <w:r w:rsidRPr="000A0B9D">
        <w:rPr>
          <w:i/>
          <w:lang w:val="en-GB"/>
        </w:rPr>
        <w:t>From Conflict Resolution to Reconciliation</w:t>
      </w:r>
      <w:r w:rsidRPr="000A0B9D">
        <w:rPr>
          <w:lang w:val="en-GB"/>
        </w:rPr>
        <w:t>, Bar-</w:t>
      </w:r>
      <w:proofErr w:type="spellStart"/>
      <w:r w:rsidRPr="000A0B9D">
        <w:rPr>
          <w:lang w:val="en-GB"/>
        </w:rPr>
        <w:t>Siman</w:t>
      </w:r>
      <w:proofErr w:type="spellEnd"/>
      <w:r w:rsidRPr="000A0B9D">
        <w:rPr>
          <w:lang w:val="en-GB"/>
        </w:rPr>
        <w:t xml:space="preserve">-Tov, </w:t>
      </w:r>
      <w:proofErr w:type="spellStart"/>
      <w:r w:rsidRPr="000A0B9D">
        <w:rPr>
          <w:lang w:val="en-GB"/>
        </w:rPr>
        <w:t>Yaacov</w:t>
      </w:r>
      <w:proofErr w:type="spellEnd"/>
      <w:r w:rsidRPr="000A0B9D">
        <w:rPr>
          <w:lang w:val="en-GB"/>
        </w:rPr>
        <w:t xml:space="preserve">, </w:t>
      </w:r>
      <w:proofErr w:type="gramStart"/>
      <w:r w:rsidRPr="000A0B9D">
        <w:rPr>
          <w:lang w:val="en-GB"/>
        </w:rPr>
        <w:t>Oxford</w:t>
      </w:r>
      <w:proofErr w:type="gramEnd"/>
      <w:r w:rsidRPr="000A0B9D">
        <w:rPr>
          <w:lang w:val="en-GB"/>
        </w:rPr>
        <w:t xml:space="preserve">: Oxford University Press, pp. 149-175 </w:t>
      </w:r>
    </w:p>
    <w:p w14:paraId="39711B9D" w14:textId="77777777" w:rsidR="00786BCF" w:rsidRPr="000A0B9D" w:rsidRDefault="00786BCF" w:rsidP="001F3A37">
      <w:pPr>
        <w:jc w:val="both"/>
        <w:rPr>
          <w:lang w:val="en-GB"/>
        </w:rPr>
      </w:pPr>
    </w:p>
    <w:p w14:paraId="433D3A37" w14:textId="77777777" w:rsidR="00786BCF" w:rsidRPr="000A0B9D" w:rsidRDefault="00786BCF" w:rsidP="001F3A37">
      <w:pPr>
        <w:jc w:val="both"/>
        <w:rPr>
          <w:lang w:val="en-GB"/>
        </w:rPr>
      </w:pPr>
      <w:proofErr w:type="spellStart"/>
      <w:r w:rsidRPr="000A0B9D">
        <w:rPr>
          <w:lang w:val="en-GB"/>
        </w:rPr>
        <w:t>Bargal</w:t>
      </w:r>
      <w:proofErr w:type="spellEnd"/>
      <w:r w:rsidRPr="000A0B9D">
        <w:rPr>
          <w:lang w:val="en-GB"/>
        </w:rPr>
        <w:t xml:space="preserve">, </w:t>
      </w:r>
      <w:proofErr w:type="gramStart"/>
      <w:r w:rsidRPr="000A0B9D">
        <w:rPr>
          <w:lang w:val="en-GB"/>
        </w:rPr>
        <w:t>David</w:t>
      </w:r>
      <w:proofErr w:type="gramEnd"/>
      <w:r w:rsidRPr="000A0B9D">
        <w:rPr>
          <w:lang w:val="en-GB"/>
        </w:rPr>
        <w:t xml:space="preserve"> and Emmanuel Sivan (2004) ‘Leadership and Reconciliation’, in </w:t>
      </w:r>
      <w:r w:rsidRPr="000A0B9D">
        <w:rPr>
          <w:i/>
          <w:lang w:val="en-GB"/>
        </w:rPr>
        <w:t>From Conflict Resolution to Reconciliation</w:t>
      </w:r>
      <w:r w:rsidRPr="000A0B9D">
        <w:rPr>
          <w:lang w:val="en-GB"/>
        </w:rPr>
        <w:t>, Bar-</w:t>
      </w:r>
      <w:proofErr w:type="spellStart"/>
      <w:r w:rsidRPr="000A0B9D">
        <w:rPr>
          <w:lang w:val="en-GB"/>
        </w:rPr>
        <w:t>Siman</w:t>
      </w:r>
      <w:proofErr w:type="spellEnd"/>
      <w:r w:rsidRPr="000A0B9D">
        <w:rPr>
          <w:lang w:val="en-GB"/>
        </w:rPr>
        <w:t xml:space="preserve">-Tov, </w:t>
      </w:r>
      <w:proofErr w:type="spellStart"/>
      <w:r w:rsidRPr="000A0B9D">
        <w:rPr>
          <w:lang w:val="en-GB"/>
        </w:rPr>
        <w:t>Yaacov</w:t>
      </w:r>
      <w:proofErr w:type="spellEnd"/>
      <w:r w:rsidRPr="000A0B9D">
        <w:rPr>
          <w:lang w:val="en-GB"/>
        </w:rPr>
        <w:t>, Oxford: Oxford University Press, pp. 125- 147</w:t>
      </w:r>
    </w:p>
    <w:p w14:paraId="1EEF2434" w14:textId="77777777" w:rsidR="00786BCF" w:rsidRPr="000A0B9D" w:rsidRDefault="00786BCF" w:rsidP="001F3A37">
      <w:pPr>
        <w:jc w:val="both"/>
        <w:rPr>
          <w:lang w:val="en-GB"/>
        </w:rPr>
      </w:pPr>
    </w:p>
    <w:p w14:paraId="574C98A9" w14:textId="77777777" w:rsidR="00786BCF" w:rsidRPr="000A0B9D" w:rsidRDefault="00786BCF" w:rsidP="001F3A37">
      <w:pPr>
        <w:jc w:val="both"/>
        <w:rPr>
          <w:lang w:val="en-GB"/>
        </w:rPr>
      </w:pPr>
      <w:r w:rsidRPr="000A0B9D">
        <w:rPr>
          <w:lang w:val="en-GB"/>
        </w:rPr>
        <w:t>Bar-</w:t>
      </w:r>
      <w:proofErr w:type="spellStart"/>
      <w:r w:rsidRPr="000A0B9D">
        <w:rPr>
          <w:lang w:val="en-GB"/>
        </w:rPr>
        <w:t>Siman</w:t>
      </w:r>
      <w:proofErr w:type="spellEnd"/>
      <w:r w:rsidRPr="000A0B9D">
        <w:rPr>
          <w:lang w:val="en-GB"/>
        </w:rPr>
        <w:t xml:space="preserve">-Tov, </w:t>
      </w:r>
      <w:proofErr w:type="spellStart"/>
      <w:r w:rsidRPr="000A0B9D">
        <w:rPr>
          <w:lang w:val="en-GB"/>
        </w:rPr>
        <w:t>Yaacov</w:t>
      </w:r>
      <w:proofErr w:type="spellEnd"/>
      <w:r w:rsidRPr="000A0B9D">
        <w:rPr>
          <w:lang w:val="en-GB"/>
        </w:rPr>
        <w:t xml:space="preserve"> (2004) </w:t>
      </w:r>
      <w:r w:rsidRPr="000A0B9D">
        <w:rPr>
          <w:i/>
          <w:lang w:val="en-GB"/>
        </w:rPr>
        <w:t>From Conflict Resolution to Reconciliation</w:t>
      </w:r>
      <w:r w:rsidRPr="000A0B9D">
        <w:rPr>
          <w:lang w:val="en-GB"/>
        </w:rPr>
        <w:t>, New York: Oxford University Press</w:t>
      </w:r>
    </w:p>
    <w:p w14:paraId="308966F5" w14:textId="77777777" w:rsidR="00786BCF" w:rsidRPr="000A0B9D" w:rsidRDefault="00786BCF" w:rsidP="001F3A37">
      <w:pPr>
        <w:jc w:val="both"/>
        <w:rPr>
          <w:lang w:val="en-GB"/>
        </w:rPr>
      </w:pPr>
    </w:p>
    <w:p w14:paraId="223F9D7F" w14:textId="77777777" w:rsidR="00786BCF" w:rsidRPr="000A0B9D" w:rsidRDefault="00786BCF" w:rsidP="001F3A37">
      <w:pPr>
        <w:jc w:val="both"/>
        <w:rPr>
          <w:lang w:val="en-GB"/>
        </w:rPr>
      </w:pPr>
      <w:r w:rsidRPr="000A0B9D">
        <w:rPr>
          <w:lang w:val="en-GB"/>
        </w:rPr>
        <w:t xml:space="preserve">Bar-Tal, Daniel (2000) ‘From intractable Conflict Through Conflict Resolution to Reconciliation: Psychological Analysis’, </w:t>
      </w:r>
      <w:r w:rsidRPr="000A0B9D">
        <w:rPr>
          <w:i/>
          <w:lang w:val="en-GB"/>
        </w:rPr>
        <w:t>Political Psychology</w:t>
      </w:r>
      <w:r w:rsidRPr="000A0B9D">
        <w:rPr>
          <w:lang w:val="en-GB"/>
        </w:rPr>
        <w:t>, Volume 2, Number 2, pp. 251-365</w:t>
      </w:r>
    </w:p>
    <w:p w14:paraId="7D89D877" w14:textId="77777777" w:rsidR="00786BCF" w:rsidRPr="000A0B9D" w:rsidRDefault="00786BCF" w:rsidP="001F3A37">
      <w:pPr>
        <w:jc w:val="both"/>
        <w:rPr>
          <w:lang w:val="en-GB"/>
        </w:rPr>
      </w:pPr>
    </w:p>
    <w:p w14:paraId="2C424A70" w14:textId="77777777" w:rsidR="00786BCF" w:rsidRPr="000A0B9D" w:rsidRDefault="00786BCF" w:rsidP="001F3A37">
      <w:pPr>
        <w:jc w:val="both"/>
        <w:rPr>
          <w:lang w:val="en-GB"/>
        </w:rPr>
      </w:pPr>
      <w:r w:rsidRPr="000A0B9D">
        <w:rPr>
          <w:lang w:val="en-GB"/>
        </w:rPr>
        <w:t xml:space="preserve">Bar-Tal, Daniel and </w:t>
      </w:r>
      <w:proofErr w:type="spellStart"/>
      <w:r w:rsidRPr="000A0B9D">
        <w:rPr>
          <w:lang w:val="en-GB"/>
        </w:rPr>
        <w:t>Bennink</w:t>
      </w:r>
      <w:proofErr w:type="spellEnd"/>
      <w:r>
        <w:rPr>
          <w:lang w:val="en-GB"/>
        </w:rPr>
        <w:t>, Gemma</w:t>
      </w:r>
      <w:r w:rsidRPr="000A0B9D">
        <w:rPr>
          <w:lang w:val="en-GB"/>
        </w:rPr>
        <w:t xml:space="preserve"> (2004) ‘The Nature of Reconciliation as an outcome and as a Process’, in </w:t>
      </w:r>
      <w:r w:rsidRPr="000A0B9D">
        <w:rPr>
          <w:i/>
          <w:lang w:val="en-GB"/>
        </w:rPr>
        <w:t>From Conflict Resolution to Reconciliation</w:t>
      </w:r>
      <w:r w:rsidRPr="000A0B9D">
        <w:rPr>
          <w:lang w:val="en-GB"/>
        </w:rPr>
        <w:t>, Bar-</w:t>
      </w:r>
      <w:proofErr w:type="spellStart"/>
      <w:r w:rsidRPr="000A0B9D">
        <w:rPr>
          <w:lang w:val="en-GB"/>
        </w:rPr>
        <w:t>Siman</w:t>
      </w:r>
      <w:proofErr w:type="spellEnd"/>
      <w:r w:rsidRPr="000A0B9D">
        <w:rPr>
          <w:lang w:val="en-GB"/>
        </w:rPr>
        <w:t xml:space="preserve">-Tov, </w:t>
      </w:r>
      <w:proofErr w:type="spellStart"/>
      <w:r w:rsidRPr="000A0B9D">
        <w:rPr>
          <w:lang w:val="en-GB"/>
        </w:rPr>
        <w:t>Yaacov</w:t>
      </w:r>
      <w:proofErr w:type="spellEnd"/>
      <w:r w:rsidRPr="000A0B9D">
        <w:rPr>
          <w:lang w:val="en-GB"/>
        </w:rPr>
        <w:t xml:space="preserve">, Oxford: Oxford University Press, </w:t>
      </w:r>
      <w:proofErr w:type="spellStart"/>
      <w:r w:rsidRPr="000A0B9D">
        <w:rPr>
          <w:lang w:val="en-GB"/>
        </w:rPr>
        <w:t>pp.11</w:t>
      </w:r>
      <w:proofErr w:type="spellEnd"/>
      <w:r w:rsidRPr="000A0B9D">
        <w:rPr>
          <w:lang w:val="en-GB"/>
        </w:rPr>
        <w:t>- 38</w:t>
      </w:r>
      <w:r>
        <w:rPr>
          <w:lang w:val="en-GB"/>
        </w:rPr>
        <w:t>.</w:t>
      </w:r>
    </w:p>
    <w:p w14:paraId="062E723F" w14:textId="77777777" w:rsidR="00786BCF" w:rsidRPr="000A0B9D" w:rsidRDefault="00786BCF" w:rsidP="001F3A37">
      <w:pPr>
        <w:jc w:val="both"/>
        <w:rPr>
          <w:lang w:val="en-GB"/>
        </w:rPr>
      </w:pPr>
    </w:p>
    <w:p w14:paraId="3EE1A045" w14:textId="77777777" w:rsidR="00786BCF" w:rsidRPr="000A0B9D" w:rsidRDefault="00786BCF" w:rsidP="001F3A37">
      <w:pPr>
        <w:jc w:val="both"/>
        <w:rPr>
          <w:lang w:val="en-GB"/>
        </w:rPr>
      </w:pPr>
      <w:r w:rsidRPr="000A0B9D">
        <w:rPr>
          <w:lang w:val="en-GB"/>
        </w:rPr>
        <w:t xml:space="preserve">Bloomfield, David (2003) </w:t>
      </w:r>
      <w:r w:rsidRPr="000A0B9D">
        <w:rPr>
          <w:i/>
          <w:lang w:val="en-GB"/>
        </w:rPr>
        <w:t>Reconciliation After Violent Conflict: A Handbook</w:t>
      </w:r>
      <w:r w:rsidRPr="000A0B9D">
        <w:rPr>
          <w:lang w:val="en-GB"/>
        </w:rPr>
        <w:t>, International Idea</w:t>
      </w:r>
      <w:r>
        <w:rPr>
          <w:lang w:val="en-GB"/>
        </w:rPr>
        <w:t>.</w:t>
      </w:r>
    </w:p>
    <w:p w14:paraId="70CE588C" w14:textId="77777777" w:rsidR="00786BCF" w:rsidRPr="00EF679F" w:rsidRDefault="00786BCF" w:rsidP="001F3A37">
      <w:pPr>
        <w:jc w:val="both"/>
        <w:rPr>
          <w:lang w:val="en-GB"/>
        </w:rPr>
      </w:pPr>
    </w:p>
    <w:p w14:paraId="3727D8C3" w14:textId="77777777" w:rsidR="00786BCF" w:rsidRPr="00EF679F" w:rsidRDefault="00786BCF" w:rsidP="001F3A37">
      <w:pPr>
        <w:pStyle w:val="FootnoteText"/>
        <w:jc w:val="both"/>
        <w:rPr>
          <w:sz w:val="24"/>
          <w:szCs w:val="24"/>
          <w:lang w:val="hr-HR"/>
        </w:rPr>
      </w:pPr>
      <w:r w:rsidRPr="00EF679F">
        <w:rPr>
          <w:sz w:val="24"/>
          <w:szCs w:val="24"/>
          <w:lang w:val="hr-HR"/>
        </w:rPr>
        <w:t>Đorović, Lakić (2013) 'Zaslužili ste orden od Pavkovića  Miloševića', E-NOVINE, 15 March.</w:t>
      </w:r>
    </w:p>
    <w:p w14:paraId="0EB38BE2" w14:textId="77777777" w:rsidR="00786BCF" w:rsidRDefault="00786BCF" w:rsidP="001F3A37">
      <w:pPr>
        <w:pStyle w:val="FootnoteText"/>
        <w:jc w:val="both"/>
        <w:rPr>
          <w:sz w:val="24"/>
          <w:szCs w:val="24"/>
          <w:lang w:val="en-US"/>
        </w:rPr>
      </w:pPr>
      <w:r w:rsidRPr="00EF679F">
        <w:rPr>
          <w:sz w:val="24"/>
          <w:szCs w:val="24"/>
          <w:lang w:val="hr-HR"/>
        </w:rPr>
        <w:t>Available online</w:t>
      </w:r>
      <w:r w:rsidRPr="00EF679F">
        <w:rPr>
          <w:sz w:val="24"/>
          <w:szCs w:val="24"/>
          <w:lang w:val="en-US"/>
        </w:rPr>
        <w:t>:</w:t>
      </w:r>
      <w:r w:rsidRPr="001F3A37">
        <w:rPr>
          <w:sz w:val="24"/>
          <w:szCs w:val="24"/>
          <w:lang w:val="en-US"/>
        </w:rPr>
        <w:t xml:space="preserve"> </w:t>
      </w:r>
    </w:p>
    <w:p w14:paraId="190A04D1" w14:textId="77777777" w:rsidR="00786BCF" w:rsidRPr="001F3A37" w:rsidRDefault="00786BCF" w:rsidP="001F3A37">
      <w:pPr>
        <w:pStyle w:val="FootnoteText"/>
        <w:jc w:val="both"/>
        <w:rPr>
          <w:sz w:val="24"/>
          <w:szCs w:val="24"/>
          <w:lang w:val="en-US"/>
        </w:rPr>
      </w:pPr>
      <w:r w:rsidRPr="00EF679F">
        <w:rPr>
          <w:sz w:val="24"/>
          <w:szCs w:val="24"/>
          <w:lang w:val="en-US"/>
        </w:rPr>
        <w:t>http://www.e-novine.com/stav/80744-Zasluili-ste-orden-Pavkovia-Miloevia.html</w:t>
      </w:r>
      <w:r>
        <w:rPr>
          <w:sz w:val="24"/>
          <w:szCs w:val="24"/>
          <w:lang w:val="en-US"/>
        </w:rPr>
        <w:t>.</w:t>
      </w:r>
    </w:p>
    <w:p w14:paraId="306783BE" w14:textId="77777777" w:rsidR="00786BCF" w:rsidRPr="000A0B9D" w:rsidRDefault="00786BCF" w:rsidP="001F3A37">
      <w:pPr>
        <w:jc w:val="both"/>
        <w:rPr>
          <w:lang w:val="en-GB"/>
        </w:rPr>
      </w:pPr>
    </w:p>
    <w:p w14:paraId="0E35E43F" w14:textId="77777777" w:rsidR="00786BCF" w:rsidRPr="000A0B9D" w:rsidRDefault="00786BCF" w:rsidP="001F3A37">
      <w:pPr>
        <w:jc w:val="both"/>
        <w:rPr>
          <w:lang w:val="en-GB"/>
        </w:rPr>
      </w:pPr>
      <w:r w:rsidRPr="000A0B9D">
        <w:rPr>
          <w:lang w:val="en-GB"/>
        </w:rPr>
        <w:t xml:space="preserve">Hermann, Tamar (2004) ‘Reconciliation: Reflections on the Theoretical and Practical Utility of the Term’ in </w:t>
      </w:r>
      <w:r w:rsidRPr="000A0B9D">
        <w:rPr>
          <w:i/>
          <w:lang w:val="en-GB"/>
        </w:rPr>
        <w:t>From Conflict Resolution to Reconciliation</w:t>
      </w:r>
      <w:r w:rsidRPr="000A0B9D">
        <w:rPr>
          <w:lang w:val="en-GB"/>
        </w:rPr>
        <w:t>, Bar-</w:t>
      </w:r>
      <w:proofErr w:type="spellStart"/>
      <w:r w:rsidRPr="000A0B9D">
        <w:rPr>
          <w:lang w:val="en-GB"/>
        </w:rPr>
        <w:t>Siman</w:t>
      </w:r>
      <w:proofErr w:type="spellEnd"/>
      <w:r w:rsidRPr="000A0B9D">
        <w:rPr>
          <w:lang w:val="en-GB"/>
        </w:rPr>
        <w:t xml:space="preserve">-Tov, </w:t>
      </w:r>
      <w:proofErr w:type="spellStart"/>
      <w:r w:rsidRPr="000A0B9D">
        <w:rPr>
          <w:lang w:val="en-GB"/>
        </w:rPr>
        <w:t>Yaacov</w:t>
      </w:r>
      <w:proofErr w:type="spellEnd"/>
      <w:r w:rsidRPr="000A0B9D">
        <w:rPr>
          <w:lang w:val="en-GB"/>
        </w:rPr>
        <w:t>, Oxford: Oxford University Press, pp. 40- 60</w:t>
      </w:r>
      <w:r>
        <w:rPr>
          <w:lang w:val="en-GB"/>
        </w:rPr>
        <w:t>.</w:t>
      </w:r>
    </w:p>
    <w:p w14:paraId="4481FEA8" w14:textId="77777777" w:rsidR="00786BCF" w:rsidRPr="000A0B9D" w:rsidRDefault="00786BCF" w:rsidP="001F3A37">
      <w:pPr>
        <w:jc w:val="both"/>
        <w:rPr>
          <w:lang w:val="en-GB"/>
        </w:rPr>
      </w:pPr>
    </w:p>
    <w:p w14:paraId="4A134E98" w14:textId="77777777" w:rsidR="00786BCF" w:rsidRPr="000A0B9D" w:rsidRDefault="00786BCF" w:rsidP="001F3A37">
      <w:pPr>
        <w:jc w:val="both"/>
        <w:rPr>
          <w:lang w:val="en-GB"/>
        </w:rPr>
      </w:pPr>
      <w:r w:rsidRPr="000A0B9D">
        <w:rPr>
          <w:lang w:val="en-GB"/>
        </w:rPr>
        <w:t xml:space="preserve">Kaufman, Stuart (2006) ‘Escaping the Symbolic Trap: Reconciliation Initiatives and Conflict Resolution in Ethnic Wars’, </w:t>
      </w:r>
      <w:r w:rsidRPr="000A0B9D">
        <w:rPr>
          <w:i/>
          <w:lang w:val="en-GB"/>
        </w:rPr>
        <w:t>Journal of Peace Research</w:t>
      </w:r>
      <w:r w:rsidRPr="000A0B9D">
        <w:rPr>
          <w:lang w:val="en-GB"/>
        </w:rPr>
        <w:t>, pp. 201-218</w:t>
      </w:r>
      <w:r>
        <w:rPr>
          <w:lang w:val="en-GB"/>
        </w:rPr>
        <w:t>.</w:t>
      </w:r>
    </w:p>
    <w:p w14:paraId="61BAF5B5" w14:textId="77777777" w:rsidR="00786BCF" w:rsidRPr="001F3A37" w:rsidRDefault="00786BCF" w:rsidP="001F3A37">
      <w:pPr>
        <w:jc w:val="both"/>
        <w:rPr>
          <w:lang w:val="en-US"/>
        </w:rPr>
      </w:pPr>
    </w:p>
    <w:p w14:paraId="5C710E73" w14:textId="77777777" w:rsidR="00786BCF" w:rsidRPr="000A0B9D" w:rsidRDefault="00786BCF" w:rsidP="001F3A37">
      <w:pPr>
        <w:jc w:val="both"/>
        <w:rPr>
          <w:lang w:val="en-GB"/>
        </w:rPr>
      </w:pPr>
      <w:proofErr w:type="spellStart"/>
      <w:r w:rsidRPr="000A0B9D">
        <w:rPr>
          <w:lang w:val="en-GB"/>
        </w:rPr>
        <w:t>Kriesberg</w:t>
      </w:r>
      <w:proofErr w:type="spellEnd"/>
      <w:r w:rsidRPr="000A0B9D">
        <w:rPr>
          <w:lang w:val="en-GB"/>
        </w:rPr>
        <w:t xml:space="preserve">, Louis (2004) ‘Comparing Reconciliation Actions within and between Countries’ in </w:t>
      </w:r>
      <w:r w:rsidRPr="000A0B9D">
        <w:rPr>
          <w:i/>
          <w:lang w:val="en-GB"/>
        </w:rPr>
        <w:t>From Conflict Resolution to Reconciliation</w:t>
      </w:r>
      <w:r w:rsidRPr="000A0B9D">
        <w:rPr>
          <w:lang w:val="en-GB"/>
        </w:rPr>
        <w:t>, Bar-</w:t>
      </w:r>
      <w:proofErr w:type="spellStart"/>
      <w:r w:rsidRPr="000A0B9D">
        <w:rPr>
          <w:lang w:val="en-GB"/>
        </w:rPr>
        <w:t>Siman</w:t>
      </w:r>
      <w:proofErr w:type="spellEnd"/>
      <w:r w:rsidRPr="000A0B9D">
        <w:rPr>
          <w:lang w:val="en-GB"/>
        </w:rPr>
        <w:t xml:space="preserve">-Tov, </w:t>
      </w:r>
      <w:proofErr w:type="spellStart"/>
      <w:r w:rsidRPr="000A0B9D">
        <w:rPr>
          <w:lang w:val="en-GB"/>
        </w:rPr>
        <w:t>Yaacov</w:t>
      </w:r>
      <w:proofErr w:type="spellEnd"/>
      <w:r w:rsidRPr="000A0B9D">
        <w:rPr>
          <w:lang w:val="en-GB"/>
        </w:rPr>
        <w:t xml:space="preserve">, </w:t>
      </w:r>
      <w:proofErr w:type="gramStart"/>
      <w:r w:rsidRPr="000A0B9D">
        <w:rPr>
          <w:lang w:val="en-GB"/>
        </w:rPr>
        <w:t>Oxford</w:t>
      </w:r>
      <w:proofErr w:type="gramEnd"/>
      <w:r w:rsidRPr="000A0B9D">
        <w:rPr>
          <w:lang w:val="en-GB"/>
        </w:rPr>
        <w:t>: Oxford University Press, pp. 81-110</w:t>
      </w:r>
      <w:r>
        <w:rPr>
          <w:lang w:val="en-GB"/>
        </w:rPr>
        <w:t>.</w:t>
      </w:r>
    </w:p>
    <w:p w14:paraId="7844289E" w14:textId="77777777" w:rsidR="00786BCF" w:rsidRPr="000A0B9D" w:rsidRDefault="00786BCF" w:rsidP="001F3A37">
      <w:pPr>
        <w:jc w:val="both"/>
        <w:rPr>
          <w:lang w:val="en-GB"/>
        </w:rPr>
      </w:pPr>
    </w:p>
    <w:p w14:paraId="69D7233E" w14:textId="77777777" w:rsidR="00786BCF" w:rsidRPr="000A0B9D" w:rsidRDefault="00786BCF" w:rsidP="001F3A37">
      <w:pPr>
        <w:jc w:val="both"/>
        <w:rPr>
          <w:lang w:val="en-GB"/>
        </w:rPr>
      </w:pPr>
      <w:proofErr w:type="spellStart"/>
      <w:r w:rsidRPr="000A0B9D">
        <w:rPr>
          <w:lang w:val="en-GB"/>
        </w:rPr>
        <w:t>Lederach</w:t>
      </w:r>
      <w:proofErr w:type="spellEnd"/>
      <w:r w:rsidRPr="000A0B9D">
        <w:rPr>
          <w:lang w:val="en-GB"/>
        </w:rPr>
        <w:t xml:space="preserve">, John Paul (1997) </w:t>
      </w:r>
      <w:r w:rsidRPr="000A0B9D">
        <w:rPr>
          <w:i/>
          <w:lang w:val="en-GB"/>
        </w:rPr>
        <w:t>Building Peace, Sustainable Reconciliation in Divided Societies</w:t>
      </w:r>
      <w:r w:rsidRPr="000A0B9D">
        <w:rPr>
          <w:lang w:val="en-GB"/>
        </w:rPr>
        <w:t>, Washington D.C.: United States Institute of Peace Press</w:t>
      </w:r>
      <w:r>
        <w:rPr>
          <w:lang w:val="en-GB"/>
        </w:rPr>
        <w:t>.</w:t>
      </w:r>
    </w:p>
    <w:p w14:paraId="7D6FE673" w14:textId="77777777" w:rsidR="00786BCF" w:rsidRPr="00EF679F" w:rsidRDefault="00786BCF" w:rsidP="001F3A37">
      <w:pPr>
        <w:jc w:val="both"/>
        <w:rPr>
          <w:lang w:val="en-GB"/>
        </w:rPr>
      </w:pPr>
    </w:p>
    <w:p w14:paraId="48E8BD51" w14:textId="77777777" w:rsidR="00786BCF" w:rsidRPr="00BE27C3" w:rsidRDefault="00786BCF" w:rsidP="001F3A37">
      <w:pPr>
        <w:pStyle w:val="FootnoteText"/>
        <w:jc w:val="both"/>
        <w:rPr>
          <w:rFonts w:eastAsia="MS ??"/>
          <w:sz w:val="24"/>
          <w:szCs w:val="24"/>
          <w:lang w:val="hr-HR"/>
        </w:rPr>
      </w:pPr>
      <w:r w:rsidRPr="00BE27C3">
        <w:rPr>
          <w:rFonts w:eastAsia="MS ??"/>
          <w:sz w:val="24"/>
          <w:szCs w:val="24"/>
          <w:lang w:val="en-US"/>
        </w:rPr>
        <w:t>Geoffrey Nice, (2009) ‘</w:t>
      </w:r>
      <w:proofErr w:type="spellStart"/>
      <w:r w:rsidRPr="00BE27C3">
        <w:rPr>
          <w:rFonts w:eastAsia="MS ??"/>
          <w:sz w:val="24"/>
          <w:szCs w:val="24"/>
          <w:lang w:val="en-US"/>
        </w:rPr>
        <w:t>Zlo</w:t>
      </w:r>
      <w:proofErr w:type="spellEnd"/>
      <w:r w:rsidRPr="00BE27C3">
        <w:rPr>
          <w:rFonts w:eastAsia="MS ??"/>
          <w:sz w:val="24"/>
          <w:szCs w:val="24"/>
          <w:lang w:val="hr-HR"/>
        </w:rPr>
        <w:t>čin i kazna</w:t>
      </w:r>
      <w:r w:rsidRPr="00BE27C3">
        <w:rPr>
          <w:rFonts w:eastAsia="MS ??"/>
          <w:sz w:val="24"/>
          <w:szCs w:val="24"/>
          <w:lang w:val="en-US"/>
        </w:rPr>
        <w:t>:</w:t>
      </w:r>
      <w:r w:rsidRPr="00BE27C3">
        <w:rPr>
          <w:rFonts w:eastAsia="MS ??"/>
          <w:sz w:val="24"/>
          <w:szCs w:val="24"/>
          <w:lang w:val="hr-HR"/>
        </w:rPr>
        <w:t xml:space="preserve"> zašto je haška osuđenica za ratne zločine prerano oslobođena', DANI, 20 November.</w:t>
      </w:r>
    </w:p>
    <w:p w14:paraId="23B3A9DD" w14:textId="77777777" w:rsidR="00786BCF" w:rsidRPr="00BE27C3" w:rsidRDefault="00786BCF" w:rsidP="001F3A37">
      <w:pPr>
        <w:pStyle w:val="FootnoteText"/>
        <w:jc w:val="both"/>
        <w:rPr>
          <w:rFonts w:eastAsia="MS ??"/>
          <w:sz w:val="24"/>
          <w:szCs w:val="24"/>
          <w:lang w:val="hr-HR"/>
        </w:rPr>
      </w:pPr>
    </w:p>
    <w:p w14:paraId="3E884A2B" w14:textId="77777777" w:rsidR="00786BCF" w:rsidRDefault="00786BCF" w:rsidP="001F3A37">
      <w:pPr>
        <w:pStyle w:val="FootnoteText"/>
        <w:jc w:val="both"/>
        <w:rPr>
          <w:sz w:val="24"/>
          <w:szCs w:val="24"/>
          <w:lang w:val="en-US"/>
        </w:rPr>
      </w:pPr>
      <w:r w:rsidRPr="00BE27C3">
        <w:rPr>
          <w:sz w:val="24"/>
          <w:szCs w:val="24"/>
          <w:lang w:val="en-US"/>
        </w:rPr>
        <w:t>Geoffrey Nice (2013) ‘</w:t>
      </w:r>
      <w:r w:rsidRPr="00BE27C3">
        <w:rPr>
          <w:color w:val="161616"/>
          <w:sz w:val="24"/>
          <w:szCs w:val="24"/>
          <w:lang w:val="en-US"/>
        </w:rPr>
        <w:t xml:space="preserve">War Crimes Courts that Reconcile: Oxymoron or Possibility?’, 18 April 2013, Gresham College Lecture, London, </w:t>
      </w:r>
      <w:r w:rsidRPr="00BE27C3">
        <w:rPr>
          <w:sz w:val="24"/>
          <w:szCs w:val="24"/>
          <w:lang w:val="en-US"/>
        </w:rPr>
        <w:t>Available at:</w:t>
      </w:r>
    </w:p>
    <w:p w14:paraId="0D922705" w14:textId="77777777" w:rsidR="00786BCF" w:rsidRPr="00EF679F" w:rsidRDefault="00786BCF" w:rsidP="001F3A37">
      <w:pPr>
        <w:pStyle w:val="FootnoteText"/>
        <w:jc w:val="both"/>
        <w:rPr>
          <w:color w:val="171717"/>
          <w:sz w:val="24"/>
          <w:szCs w:val="24"/>
          <w:lang w:val="en-US"/>
        </w:rPr>
      </w:pPr>
      <w:r w:rsidRPr="00BE27C3">
        <w:rPr>
          <w:sz w:val="24"/>
          <w:szCs w:val="24"/>
          <w:lang w:val="en-US"/>
        </w:rPr>
        <w:t xml:space="preserve"> </w:t>
      </w:r>
      <w:hyperlink r:id="rId9" w:history="1">
        <w:r w:rsidRPr="00BE27C3">
          <w:rPr>
            <w:rStyle w:val="Hyperlink"/>
            <w:sz w:val="24"/>
            <w:szCs w:val="24"/>
            <w:lang w:val="en-US"/>
          </w:rPr>
          <w:t>http://www.gresham.ac.uk/lectures-and-events/war-crimes-courts-that-reconcile-oxymoron-or-possibility</w:t>
        </w:r>
      </w:hyperlink>
      <w:r w:rsidRPr="00EF679F">
        <w:rPr>
          <w:color w:val="171717"/>
          <w:sz w:val="24"/>
          <w:szCs w:val="24"/>
          <w:lang w:val="en-US"/>
        </w:rPr>
        <w:t>.</w:t>
      </w:r>
    </w:p>
    <w:p w14:paraId="3AEFA4A9" w14:textId="77777777" w:rsidR="00786BCF" w:rsidRPr="00BB26B1" w:rsidRDefault="00786BCF" w:rsidP="001F3A37">
      <w:pPr>
        <w:pStyle w:val="FootnoteText"/>
        <w:jc w:val="both"/>
        <w:rPr>
          <w:lang w:val="en-US"/>
        </w:rPr>
      </w:pPr>
    </w:p>
    <w:p w14:paraId="168CC9EE" w14:textId="77777777" w:rsidR="00786BCF" w:rsidRPr="000A0B9D" w:rsidRDefault="00786BCF" w:rsidP="001F3A37">
      <w:pPr>
        <w:jc w:val="both"/>
        <w:rPr>
          <w:lang w:val="en-GB"/>
        </w:rPr>
      </w:pPr>
      <w:r w:rsidRPr="000A0B9D">
        <w:rPr>
          <w:lang w:val="en-GB"/>
        </w:rPr>
        <w:t xml:space="preserve">Pankhurst, Donna (1999) </w:t>
      </w:r>
      <w:r>
        <w:rPr>
          <w:lang w:val="en-GB"/>
        </w:rPr>
        <w:t>“</w:t>
      </w:r>
      <w:r w:rsidRPr="000A0B9D">
        <w:rPr>
          <w:lang w:val="en-GB"/>
        </w:rPr>
        <w:t>Issues of justice and reconciliation in complex political emergencies: conceptualising reconciliation, justice and peace</w:t>
      </w:r>
      <w:r>
        <w:rPr>
          <w:lang w:val="en-GB"/>
        </w:rPr>
        <w:t>”</w:t>
      </w:r>
      <w:r w:rsidRPr="000A0B9D">
        <w:rPr>
          <w:lang w:val="en-GB"/>
        </w:rPr>
        <w:t xml:space="preserve">, </w:t>
      </w:r>
      <w:r w:rsidRPr="000A0B9D">
        <w:rPr>
          <w:i/>
          <w:lang w:val="en-GB"/>
        </w:rPr>
        <w:t>Third World Quarterly</w:t>
      </w:r>
      <w:r w:rsidRPr="000A0B9D">
        <w:rPr>
          <w:lang w:val="en-GB"/>
        </w:rPr>
        <w:t>, Volume 20, Issue 1, pp</w:t>
      </w:r>
      <w:r>
        <w:rPr>
          <w:lang w:val="en-GB"/>
        </w:rPr>
        <w:t>.</w:t>
      </w:r>
      <w:r w:rsidRPr="000A0B9D">
        <w:rPr>
          <w:lang w:val="en-GB"/>
        </w:rPr>
        <w:t xml:space="preserve"> 239-256</w:t>
      </w:r>
      <w:r>
        <w:rPr>
          <w:lang w:val="en-GB"/>
        </w:rPr>
        <w:t>.</w:t>
      </w:r>
    </w:p>
    <w:p w14:paraId="322B5D78" w14:textId="77777777" w:rsidR="00786BCF" w:rsidRPr="000A0B9D" w:rsidRDefault="00786BCF" w:rsidP="001F3A37">
      <w:pPr>
        <w:autoSpaceDE w:val="0"/>
        <w:autoSpaceDN w:val="0"/>
        <w:adjustRightInd w:val="0"/>
        <w:jc w:val="both"/>
        <w:rPr>
          <w:lang w:val="en-GB"/>
        </w:rPr>
      </w:pPr>
    </w:p>
    <w:p w14:paraId="44AD8C4D" w14:textId="77777777" w:rsidR="00786BCF" w:rsidRPr="000A0B9D" w:rsidRDefault="00786BCF" w:rsidP="001F3A37">
      <w:pPr>
        <w:jc w:val="both"/>
        <w:rPr>
          <w:lang w:val="en-GB"/>
        </w:rPr>
      </w:pPr>
      <w:proofErr w:type="spellStart"/>
      <w:r w:rsidRPr="000A0B9D">
        <w:rPr>
          <w:lang w:val="en-GB"/>
        </w:rPr>
        <w:t>Ramsbotham</w:t>
      </w:r>
      <w:proofErr w:type="spellEnd"/>
      <w:r w:rsidRPr="000A0B9D">
        <w:rPr>
          <w:lang w:val="en-GB"/>
        </w:rPr>
        <w:t xml:space="preserve">, Oliver; Tom Woodhouse and Hugh </w:t>
      </w:r>
      <w:proofErr w:type="spellStart"/>
      <w:r w:rsidRPr="000A0B9D">
        <w:rPr>
          <w:lang w:val="en-GB"/>
        </w:rPr>
        <w:t>Miall</w:t>
      </w:r>
      <w:proofErr w:type="spellEnd"/>
      <w:r w:rsidRPr="000A0B9D">
        <w:rPr>
          <w:lang w:val="en-GB"/>
        </w:rPr>
        <w:t xml:space="preserve"> (2005) Contemporary conflict </w:t>
      </w:r>
      <w:proofErr w:type="gramStart"/>
      <w:r w:rsidRPr="000A0B9D">
        <w:rPr>
          <w:lang w:val="en-GB"/>
        </w:rPr>
        <w:t>resolution :</w:t>
      </w:r>
      <w:proofErr w:type="gramEnd"/>
      <w:r w:rsidRPr="000A0B9D">
        <w:rPr>
          <w:lang w:val="en-GB"/>
        </w:rPr>
        <w:t xml:space="preserve"> the prevention, management and transformation of deadly conflicts, Cambridge: Polity</w:t>
      </w:r>
      <w:r>
        <w:rPr>
          <w:lang w:val="en-GB"/>
        </w:rPr>
        <w:t>.</w:t>
      </w:r>
    </w:p>
    <w:p w14:paraId="50EC394B" w14:textId="77777777" w:rsidR="00786BCF" w:rsidRPr="000A0B9D" w:rsidRDefault="00786BCF" w:rsidP="001F3A37">
      <w:pPr>
        <w:jc w:val="both"/>
        <w:rPr>
          <w:lang w:val="en-GB"/>
        </w:rPr>
      </w:pPr>
    </w:p>
    <w:p w14:paraId="115ECB7D" w14:textId="77777777" w:rsidR="00786BCF" w:rsidRPr="000A0B9D" w:rsidRDefault="00786BCF" w:rsidP="001F3A37">
      <w:pPr>
        <w:jc w:val="both"/>
        <w:rPr>
          <w:lang w:val="en-GB"/>
        </w:rPr>
      </w:pPr>
      <w:r w:rsidRPr="000A0B9D">
        <w:rPr>
          <w:lang w:val="en-GB"/>
        </w:rPr>
        <w:t xml:space="preserve">Ross, Marc (2004) ‘Ritual and the Politics of Reconciliation’, in </w:t>
      </w:r>
      <w:r w:rsidRPr="000A0B9D">
        <w:rPr>
          <w:i/>
          <w:lang w:val="en-GB"/>
        </w:rPr>
        <w:t>From Conflict Resolution to Reconciliation</w:t>
      </w:r>
      <w:r w:rsidRPr="000A0B9D">
        <w:rPr>
          <w:lang w:val="en-GB"/>
        </w:rPr>
        <w:t>, Bar-</w:t>
      </w:r>
      <w:proofErr w:type="spellStart"/>
      <w:r w:rsidRPr="000A0B9D">
        <w:rPr>
          <w:lang w:val="en-GB"/>
        </w:rPr>
        <w:t>Siman</w:t>
      </w:r>
      <w:proofErr w:type="spellEnd"/>
      <w:r w:rsidRPr="000A0B9D">
        <w:rPr>
          <w:lang w:val="en-GB"/>
        </w:rPr>
        <w:t xml:space="preserve">-Tov, </w:t>
      </w:r>
      <w:proofErr w:type="spellStart"/>
      <w:r w:rsidRPr="000A0B9D">
        <w:rPr>
          <w:lang w:val="en-GB"/>
        </w:rPr>
        <w:t>Yaacov</w:t>
      </w:r>
      <w:proofErr w:type="spellEnd"/>
      <w:r w:rsidRPr="000A0B9D">
        <w:rPr>
          <w:lang w:val="en-GB"/>
        </w:rPr>
        <w:t xml:space="preserve">, </w:t>
      </w:r>
      <w:proofErr w:type="gramStart"/>
      <w:r w:rsidRPr="000A0B9D">
        <w:rPr>
          <w:lang w:val="en-GB"/>
        </w:rPr>
        <w:t>Oxford</w:t>
      </w:r>
      <w:proofErr w:type="gramEnd"/>
      <w:r w:rsidRPr="000A0B9D">
        <w:rPr>
          <w:lang w:val="en-GB"/>
        </w:rPr>
        <w:t>: Oxford University Press, pp. 197- 223</w:t>
      </w:r>
      <w:r>
        <w:rPr>
          <w:lang w:val="en-GB"/>
        </w:rPr>
        <w:t>.</w:t>
      </w:r>
    </w:p>
    <w:p w14:paraId="7CB13AB2" w14:textId="77777777" w:rsidR="00786BCF" w:rsidRPr="000A0B9D" w:rsidRDefault="00786BCF" w:rsidP="001F3A37">
      <w:pPr>
        <w:jc w:val="both"/>
        <w:rPr>
          <w:lang w:val="en-GB"/>
        </w:rPr>
      </w:pPr>
    </w:p>
    <w:p w14:paraId="3625B906" w14:textId="77777777" w:rsidR="00786BCF" w:rsidRPr="000A0B9D" w:rsidRDefault="00786BCF" w:rsidP="001F3A37">
      <w:pPr>
        <w:jc w:val="both"/>
        <w:rPr>
          <w:lang w:val="en-GB"/>
        </w:rPr>
      </w:pPr>
      <w:r w:rsidRPr="000A0B9D">
        <w:rPr>
          <w:lang w:val="en-GB"/>
        </w:rPr>
        <w:t xml:space="preserve">Rothstein, Robert L. (1999) </w:t>
      </w:r>
      <w:r w:rsidRPr="000A0B9D">
        <w:rPr>
          <w:i/>
          <w:lang w:val="en-GB"/>
        </w:rPr>
        <w:t>After the Peace Resistance and Reconciliation</w:t>
      </w:r>
      <w:r w:rsidRPr="000A0B9D">
        <w:rPr>
          <w:lang w:val="en-GB"/>
        </w:rPr>
        <w:t>, Boulder: Lynne</w:t>
      </w:r>
      <w:r>
        <w:rPr>
          <w:lang w:val="en-GB"/>
        </w:rPr>
        <w:t>.</w:t>
      </w:r>
      <w:r w:rsidRPr="000A0B9D">
        <w:rPr>
          <w:lang w:val="en-GB"/>
        </w:rPr>
        <w:t xml:space="preserve"> </w:t>
      </w:r>
    </w:p>
    <w:p w14:paraId="6037E67B" w14:textId="77777777" w:rsidR="00786BCF" w:rsidRPr="001F3A37" w:rsidRDefault="00786BCF" w:rsidP="001F3A37">
      <w:pPr>
        <w:jc w:val="both"/>
        <w:rPr>
          <w:lang w:val="en-US"/>
        </w:rPr>
      </w:pPr>
    </w:p>
    <w:p w14:paraId="5B91EB93" w14:textId="77777777" w:rsidR="00786BCF" w:rsidRPr="000A0B9D" w:rsidRDefault="00786BCF" w:rsidP="001F3A37">
      <w:pPr>
        <w:jc w:val="both"/>
        <w:rPr>
          <w:lang w:val="en-GB"/>
        </w:rPr>
      </w:pPr>
    </w:p>
    <w:p w14:paraId="08076004" w14:textId="77777777" w:rsidR="00786BCF" w:rsidRPr="00EF679F" w:rsidRDefault="00786BCF" w:rsidP="001F3A37">
      <w:pPr>
        <w:pStyle w:val="FootnoteText"/>
        <w:jc w:val="both"/>
        <w:rPr>
          <w:b/>
          <w:i/>
          <w:sz w:val="24"/>
          <w:szCs w:val="24"/>
          <w:lang w:val="hr-HR"/>
        </w:rPr>
      </w:pPr>
      <w:r w:rsidRPr="00EF679F">
        <w:rPr>
          <w:b/>
          <w:i/>
          <w:sz w:val="24"/>
          <w:szCs w:val="24"/>
          <w:lang w:val="hr-HR"/>
        </w:rPr>
        <w:t>UN Documents:</w:t>
      </w:r>
    </w:p>
    <w:p w14:paraId="1DFB255D" w14:textId="77777777" w:rsidR="00786BCF" w:rsidRPr="000B4E24" w:rsidRDefault="00786BCF" w:rsidP="001F3A37">
      <w:pPr>
        <w:pStyle w:val="FootnoteText"/>
        <w:jc w:val="both"/>
        <w:rPr>
          <w:sz w:val="24"/>
          <w:szCs w:val="24"/>
          <w:lang w:val="hr-HR"/>
        </w:rPr>
      </w:pPr>
    </w:p>
    <w:p w14:paraId="46D52532" w14:textId="77777777" w:rsidR="00786BCF" w:rsidRDefault="00786BCF" w:rsidP="001F3A37">
      <w:pPr>
        <w:pStyle w:val="FootnoteText"/>
        <w:jc w:val="both"/>
        <w:rPr>
          <w:sz w:val="24"/>
          <w:szCs w:val="24"/>
          <w:lang w:val="hr-HR"/>
        </w:rPr>
      </w:pPr>
      <w:r w:rsidRPr="000B4E24">
        <w:rPr>
          <w:sz w:val="24"/>
          <w:szCs w:val="24"/>
          <w:lang w:val="hr-HR"/>
        </w:rPr>
        <w:t>UN SC Resolutions 808 of 22 February 1993 and UN SC Resolution 827 of 25 May 1993.</w:t>
      </w:r>
      <w:r>
        <w:rPr>
          <w:sz w:val="24"/>
          <w:szCs w:val="24"/>
          <w:lang w:val="hr-HR"/>
        </w:rPr>
        <w:t xml:space="preserve"> Available online:</w:t>
      </w:r>
    </w:p>
    <w:p w14:paraId="7A00C2C8" w14:textId="77777777" w:rsidR="00786BCF" w:rsidRDefault="006334B7" w:rsidP="001F3A37">
      <w:pPr>
        <w:pStyle w:val="FootnoteText"/>
        <w:jc w:val="both"/>
        <w:rPr>
          <w:sz w:val="24"/>
          <w:szCs w:val="24"/>
          <w:lang w:val="hr-HR"/>
        </w:rPr>
      </w:pPr>
      <w:hyperlink r:id="rId10" w:history="1">
        <w:r w:rsidR="00786BCF" w:rsidRPr="001D461B">
          <w:rPr>
            <w:rStyle w:val="Hyperlink"/>
            <w:sz w:val="24"/>
            <w:szCs w:val="24"/>
            <w:lang w:val="hr-HR"/>
          </w:rPr>
          <w:t>http://daccess-dds-ny.un.org/doc/UNDOC/GEN/N93/098/21/IMG/N9309821.pdf?OpenElement</w:t>
        </w:r>
      </w:hyperlink>
      <w:r w:rsidR="00786BCF">
        <w:rPr>
          <w:sz w:val="24"/>
          <w:szCs w:val="24"/>
          <w:lang w:val="hr-HR"/>
        </w:rPr>
        <w:t xml:space="preserve"> </w:t>
      </w:r>
    </w:p>
    <w:p w14:paraId="0A3D67C6" w14:textId="77777777" w:rsidR="00786BCF" w:rsidRDefault="00786BCF" w:rsidP="001F3A37">
      <w:pPr>
        <w:pStyle w:val="FootnoteText"/>
        <w:jc w:val="both"/>
        <w:rPr>
          <w:sz w:val="24"/>
          <w:szCs w:val="24"/>
          <w:lang w:val="hr-HR"/>
        </w:rPr>
      </w:pPr>
    </w:p>
    <w:p w14:paraId="70C2C6CE" w14:textId="77777777" w:rsidR="00786BCF" w:rsidRPr="000B4E24" w:rsidRDefault="00786BCF" w:rsidP="001F3A37">
      <w:pPr>
        <w:pStyle w:val="FootnoteText"/>
        <w:jc w:val="both"/>
        <w:rPr>
          <w:sz w:val="24"/>
          <w:szCs w:val="24"/>
          <w:lang w:val="hr-HR"/>
        </w:rPr>
      </w:pPr>
      <w:r w:rsidRPr="0015568C">
        <w:rPr>
          <w:sz w:val="24"/>
          <w:szCs w:val="24"/>
          <w:lang w:val="hr-HR"/>
        </w:rPr>
        <w:t>http://daccess-dds-ny.un.org/doc/UNDOC/GEN/N93/306/28/IMG/N9330628.pdf?OpenElement</w:t>
      </w:r>
    </w:p>
    <w:p w14:paraId="7B51CFA8" w14:textId="77777777" w:rsidR="00786BCF" w:rsidRPr="001F3A37" w:rsidRDefault="00786BCF" w:rsidP="0030451D">
      <w:pPr>
        <w:pStyle w:val="NT-Footnote"/>
        <w:jc w:val="both"/>
        <w:rPr>
          <w:sz w:val="24"/>
          <w:szCs w:val="24"/>
          <w:lang w:val="hr-HR"/>
        </w:rPr>
      </w:pPr>
    </w:p>
    <w:p w14:paraId="0C9865EE" w14:textId="77777777" w:rsidR="00786BCF" w:rsidRPr="000B4E24" w:rsidRDefault="00786BCF" w:rsidP="0030451D">
      <w:pPr>
        <w:pStyle w:val="NT-Footnote"/>
        <w:jc w:val="both"/>
        <w:rPr>
          <w:sz w:val="24"/>
          <w:szCs w:val="24"/>
        </w:rPr>
      </w:pPr>
      <w:r w:rsidRPr="000B4E24">
        <w:rPr>
          <w:sz w:val="24"/>
          <w:szCs w:val="24"/>
        </w:rPr>
        <w:t xml:space="preserve">United Nations Security Council, </w:t>
      </w:r>
      <w:r w:rsidRPr="000B4E24">
        <w:rPr>
          <w:i/>
          <w:iCs/>
          <w:sz w:val="24"/>
          <w:szCs w:val="24"/>
        </w:rPr>
        <w:t>The Rule of Law and Transitional Justice in Conflict and Post-Conflict Societies: Report of Secretary General</w:t>
      </w:r>
      <w:r w:rsidRPr="000B4E24">
        <w:rPr>
          <w:sz w:val="24"/>
          <w:szCs w:val="24"/>
        </w:rPr>
        <w:t>, S/2004/616, 23 August 2004, 4.</w:t>
      </w:r>
    </w:p>
    <w:p w14:paraId="4D8B25B7" w14:textId="77777777" w:rsidR="00786BCF" w:rsidRPr="001F3A37" w:rsidRDefault="00786BCF" w:rsidP="0030451D">
      <w:pPr>
        <w:pStyle w:val="FootnoteText"/>
        <w:jc w:val="both"/>
        <w:rPr>
          <w:sz w:val="24"/>
          <w:szCs w:val="24"/>
          <w:lang w:val="en-US"/>
        </w:rPr>
      </w:pPr>
    </w:p>
    <w:p w14:paraId="6E32B78B" w14:textId="77777777" w:rsidR="00786BCF" w:rsidRPr="001F3A37" w:rsidRDefault="00786BCF" w:rsidP="0030451D">
      <w:pPr>
        <w:pStyle w:val="FootnoteText"/>
        <w:jc w:val="both"/>
        <w:rPr>
          <w:sz w:val="24"/>
          <w:szCs w:val="24"/>
          <w:lang w:val="en-US"/>
        </w:rPr>
      </w:pPr>
    </w:p>
    <w:p w14:paraId="2AB83613" w14:textId="77777777" w:rsidR="00786BCF" w:rsidRPr="001F3A37" w:rsidRDefault="00786BCF" w:rsidP="0030451D">
      <w:pPr>
        <w:pStyle w:val="FootnoteText"/>
        <w:jc w:val="both"/>
        <w:rPr>
          <w:b/>
          <w:i/>
          <w:sz w:val="24"/>
          <w:szCs w:val="24"/>
          <w:lang w:val="en-US"/>
        </w:rPr>
      </w:pPr>
      <w:proofErr w:type="spellStart"/>
      <w:r w:rsidRPr="001F3A37">
        <w:rPr>
          <w:b/>
          <w:i/>
          <w:sz w:val="24"/>
          <w:szCs w:val="24"/>
          <w:lang w:val="en-US"/>
        </w:rPr>
        <w:t>ICTY</w:t>
      </w:r>
      <w:proofErr w:type="spellEnd"/>
      <w:r w:rsidRPr="001F3A37">
        <w:rPr>
          <w:b/>
          <w:i/>
          <w:sz w:val="24"/>
          <w:szCs w:val="24"/>
          <w:lang w:val="en-US"/>
        </w:rPr>
        <w:t xml:space="preserve"> Documents</w:t>
      </w:r>
    </w:p>
    <w:p w14:paraId="77FF4400" w14:textId="77777777" w:rsidR="00786BCF" w:rsidRPr="001F3A37" w:rsidRDefault="00786BCF" w:rsidP="0030451D">
      <w:pPr>
        <w:pStyle w:val="FootnoteText"/>
        <w:jc w:val="both"/>
        <w:rPr>
          <w:b/>
          <w:i/>
          <w:sz w:val="24"/>
          <w:szCs w:val="24"/>
          <w:lang w:val="en-US"/>
        </w:rPr>
      </w:pPr>
    </w:p>
    <w:p w14:paraId="16E0B0AF" w14:textId="77777777" w:rsidR="00786BCF" w:rsidRDefault="00786BCF" w:rsidP="0030451D">
      <w:pPr>
        <w:pStyle w:val="FootnoteText"/>
        <w:jc w:val="both"/>
        <w:rPr>
          <w:sz w:val="24"/>
          <w:szCs w:val="24"/>
          <w:lang w:val="en-US"/>
        </w:rPr>
      </w:pPr>
      <w:proofErr w:type="spellStart"/>
      <w:r w:rsidRPr="001F3A37">
        <w:rPr>
          <w:lang w:val="en-US"/>
        </w:rPr>
        <w:t>ICTY</w:t>
      </w:r>
      <w:proofErr w:type="spellEnd"/>
      <w:r w:rsidRPr="001F3A37">
        <w:rPr>
          <w:lang w:val="en-US"/>
        </w:rPr>
        <w:t xml:space="preserve"> Indictments: </w:t>
      </w:r>
      <w:r w:rsidRPr="001F3A37">
        <w:rPr>
          <w:i/>
          <w:lang w:val="en-US"/>
        </w:rPr>
        <w:t xml:space="preserve">Prosecutor v. Radovan </w:t>
      </w:r>
      <w:proofErr w:type="spellStart"/>
      <w:r w:rsidRPr="001F3A37">
        <w:rPr>
          <w:i/>
          <w:lang w:val="en-US"/>
        </w:rPr>
        <w:t>Karadžić</w:t>
      </w:r>
      <w:proofErr w:type="spellEnd"/>
      <w:r w:rsidRPr="001F3A37">
        <w:rPr>
          <w:lang w:val="en-US"/>
        </w:rPr>
        <w:t xml:space="preserve"> </w:t>
      </w:r>
      <w:r w:rsidRPr="000B4E24">
        <w:rPr>
          <w:sz w:val="24"/>
          <w:szCs w:val="24"/>
          <w:lang w:val="en-US"/>
        </w:rPr>
        <w:t>(Case No. IT-95-5/18-PT), 19 October 2009.</w:t>
      </w:r>
      <w:r w:rsidRPr="001F3A37">
        <w:rPr>
          <w:lang w:val="en-US"/>
        </w:rPr>
        <w:t xml:space="preserve"> Fourth Amended Indictment </w:t>
      </w:r>
      <w:r w:rsidRPr="001F3A37">
        <w:rPr>
          <w:i/>
          <w:lang w:val="en-US"/>
        </w:rPr>
        <w:t xml:space="preserve">Prosecutor v. </w:t>
      </w:r>
      <w:proofErr w:type="spellStart"/>
      <w:r w:rsidRPr="001F3A37">
        <w:rPr>
          <w:i/>
          <w:lang w:val="en-US"/>
        </w:rPr>
        <w:t>Ratko</w:t>
      </w:r>
      <w:proofErr w:type="spellEnd"/>
      <w:r w:rsidRPr="001F3A37">
        <w:rPr>
          <w:i/>
          <w:lang w:val="en-US"/>
        </w:rPr>
        <w:t xml:space="preserve"> </w:t>
      </w:r>
      <w:proofErr w:type="spellStart"/>
      <w:r w:rsidRPr="001F3A37">
        <w:rPr>
          <w:i/>
          <w:lang w:val="en-US"/>
        </w:rPr>
        <w:t>Mladić</w:t>
      </w:r>
      <w:proofErr w:type="spellEnd"/>
      <w:r w:rsidRPr="001F3A37">
        <w:rPr>
          <w:lang w:val="en-US"/>
        </w:rPr>
        <w:t xml:space="preserve"> </w:t>
      </w:r>
      <w:r w:rsidRPr="000B4E24">
        <w:rPr>
          <w:sz w:val="24"/>
          <w:szCs w:val="24"/>
          <w:lang w:val="en-US"/>
        </w:rPr>
        <w:t xml:space="preserve">(Case No. </w:t>
      </w:r>
      <w:proofErr w:type="gramStart"/>
      <w:r w:rsidRPr="000B4E24">
        <w:rPr>
          <w:sz w:val="24"/>
          <w:szCs w:val="24"/>
          <w:lang w:val="en-US"/>
        </w:rPr>
        <w:t>IT-09-92-PT), 1 December 201.</w:t>
      </w:r>
      <w:proofErr w:type="gramEnd"/>
      <w:r>
        <w:rPr>
          <w:sz w:val="24"/>
          <w:szCs w:val="24"/>
          <w:lang w:val="en-US"/>
        </w:rPr>
        <w:t xml:space="preserve"> </w:t>
      </w:r>
      <w:r w:rsidRPr="000B4E24">
        <w:rPr>
          <w:sz w:val="24"/>
          <w:szCs w:val="24"/>
          <w:lang w:val="en-US"/>
        </w:rPr>
        <w:t>Available online:</w:t>
      </w:r>
    </w:p>
    <w:p w14:paraId="44E6E6A4" w14:textId="77777777" w:rsidR="00786BCF" w:rsidRDefault="006334B7" w:rsidP="0030451D">
      <w:pPr>
        <w:pStyle w:val="FootnoteText"/>
        <w:jc w:val="both"/>
        <w:rPr>
          <w:sz w:val="24"/>
          <w:szCs w:val="24"/>
          <w:lang w:val="en-US"/>
        </w:rPr>
      </w:pPr>
      <w:hyperlink r:id="rId11" w:history="1">
        <w:r w:rsidR="00786BCF" w:rsidRPr="000B4E24">
          <w:rPr>
            <w:rStyle w:val="Hyperlink"/>
            <w:sz w:val="24"/>
            <w:szCs w:val="24"/>
            <w:lang w:val="en-US"/>
          </w:rPr>
          <w:t>http://www.icty.org/x/cases/karadzic/ind/en/markedup_indictment_091019.pdf</w:t>
        </w:r>
      </w:hyperlink>
      <w:r w:rsidR="00786BCF">
        <w:rPr>
          <w:sz w:val="24"/>
          <w:szCs w:val="24"/>
          <w:lang w:val="en-US"/>
        </w:rPr>
        <w:t>; and</w:t>
      </w:r>
    </w:p>
    <w:p w14:paraId="692AFCD7" w14:textId="77777777" w:rsidR="00786BCF" w:rsidRPr="001F3A37" w:rsidRDefault="00786BCF" w:rsidP="0030451D">
      <w:pPr>
        <w:pStyle w:val="FootnoteText"/>
        <w:jc w:val="both"/>
        <w:rPr>
          <w:sz w:val="24"/>
          <w:szCs w:val="24"/>
          <w:lang w:val="en-US"/>
        </w:rPr>
      </w:pPr>
      <w:r w:rsidRPr="000B4E24">
        <w:rPr>
          <w:sz w:val="24"/>
          <w:szCs w:val="24"/>
          <w:lang w:val="en-US"/>
        </w:rPr>
        <w:t>http://</w:t>
      </w:r>
      <w:proofErr w:type="spellStart"/>
      <w:r w:rsidRPr="000B4E24">
        <w:rPr>
          <w:sz w:val="24"/>
          <w:szCs w:val="24"/>
          <w:lang w:val="en-US"/>
        </w:rPr>
        <w:t>www.icty.org</w:t>
      </w:r>
      <w:proofErr w:type="spellEnd"/>
      <w:r w:rsidRPr="000B4E24">
        <w:rPr>
          <w:sz w:val="24"/>
          <w:szCs w:val="24"/>
          <w:lang w:val="en-US"/>
        </w:rPr>
        <w:t>/x/cases/</w:t>
      </w:r>
      <w:proofErr w:type="spellStart"/>
      <w:r w:rsidRPr="000B4E24">
        <w:rPr>
          <w:sz w:val="24"/>
          <w:szCs w:val="24"/>
          <w:lang w:val="en-US"/>
        </w:rPr>
        <w:t>mladic</w:t>
      </w:r>
      <w:proofErr w:type="spellEnd"/>
      <w:r w:rsidRPr="000B4E24">
        <w:rPr>
          <w:sz w:val="24"/>
          <w:szCs w:val="24"/>
          <w:lang w:val="en-US"/>
        </w:rPr>
        <w:t>/</w:t>
      </w:r>
      <w:proofErr w:type="spellStart"/>
      <w:r w:rsidRPr="000B4E24">
        <w:rPr>
          <w:sz w:val="24"/>
          <w:szCs w:val="24"/>
          <w:lang w:val="en-US"/>
        </w:rPr>
        <w:t>ind</w:t>
      </w:r>
      <w:proofErr w:type="spellEnd"/>
      <w:r w:rsidRPr="000B4E24">
        <w:rPr>
          <w:sz w:val="24"/>
          <w:szCs w:val="24"/>
          <w:lang w:val="en-US"/>
        </w:rPr>
        <w:t>/en/</w:t>
      </w:r>
      <w:proofErr w:type="spellStart"/>
      <w:r w:rsidRPr="000B4E24">
        <w:rPr>
          <w:sz w:val="24"/>
          <w:szCs w:val="24"/>
          <w:lang w:val="en-US"/>
        </w:rPr>
        <w:t>111216.pdf</w:t>
      </w:r>
      <w:proofErr w:type="spellEnd"/>
    </w:p>
    <w:p w14:paraId="3132A716" w14:textId="77777777" w:rsidR="00786BCF" w:rsidRPr="001F3A37" w:rsidRDefault="00786BCF" w:rsidP="0030451D">
      <w:pPr>
        <w:pStyle w:val="FootnoteText"/>
        <w:jc w:val="both"/>
        <w:rPr>
          <w:sz w:val="24"/>
          <w:szCs w:val="24"/>
          <w:lang w:val="en-US"/>
        </w:rPr>
      </w:pPr>
    </w:p>
    <w:p w14:paraId="7F40CECE" w14:textId="77777777" w:rsidR="00786BCF" w:rsidRDefault="00786BCF" w:rsidP="0030451D">
      <w:pPr>
        <w:pStyle w:val="FootnoteText"/>
        <w:jc w:val="both"/>
        <w:rPr>
          <w:sz w:val="24"/>
          <w:szCs w:val="24"/>
          <w:lang w:val="hr-HR"/>
        </w:rPr>
      </w:pPr>
      <w:proofErr w:type="spellStart"/>
      <w:r w:rsidRPr="001F3A37">
        <w:rPr>
          <w:lang w:val="en-US"/>
        </w:rPr>
        <w:t>ICTY</w:t>
      </w:r>
      <w:proofErr w:type="spellEnd"/>
      <w:r w:rsidRPr="001F3A37">
        <w:rPr>
          <w:lang w:val="en-US"/>
        </w:rPr>
        <w:t xml:space="preserve"> Indictments: </w:t>
      </w:r>
      <w:r w:rsidRPr="001F3A37">
        <w:rPr>
          <w:i/>
          <w:lang w:val="en-US"/>
        </w:rPr>
        <w:t xml:space="preserve">Prosecution v. </w:t>
      </w:r>
      <w:proofErr w:type="spellStart"/>
      <w:r w:rsidRPr="001F3A37">
        <w:rPr>
          <w:i/>
          <w:lang w:val="en-US"/>
        </w:rPr>
        <w:t>Radislav</w:t>
      </w:r>
      <w:proofErr w:type="spellEnd"/>
      <w:r w:rsidRPr="001F3A37">
        <w:rPr>
          <w:i/>
          <w:lang w:val="en-US"/>
        </w:rPr>
        <w:t xml:space="preserve"> </w:t>
      </w:r>
      <w:proofErr w:type="spellStart"/>
      <w:r w:rsidRPr="001F3A37">
        <w:rPr>
          <w:i/>
          <w:lang w:val="en-US"/>
        </w:rPr>
        <w:t>Krsti</w:t>
      </w:r>
      <w:proofErr w:type="spellEnd"/>
      <w:r w:rsidRPr="000B4E24">
        <w:rPr>
          <w:i/>
          <w:sz w:val="24"/>
          <w:szCs w:val="24"/>
          <w:lang w:val="hr-HR"/>
        </w:rPr>
        <w:t xml:space="preserve">ć </w:t>
      </w:r>
      <w:r w:rsidRPr="000B4E24">
        <w:rPr>
          <w:sz w:val="24"/>
          <w:szCs w:val="24"/>
          <w:lang w:val="hr-HR"/>
        </w:rPr>
        <w:t>(Case No. IT-98-33)</w:t>
      </w:r>
      <w:r w:rsidRPr="000B4E24">
        <w:rPr>
          <w:i/>
          <w:sz w:val="24"/>
          <w:szCs w:val="24"/>
          <w:lang w:val="hr-HR"/>
        </w:rPr>
        <w:t xml:space="preserve"> </w:t>
      </w:r>
      <w:r w:rsidRPr="000B4E24">
        <w:rPr>
          <w:sz w:val="24"/>
          <w:szCs w:val="24"/>
          <w:lang w:val="hr-HR"/>
        </w:rPr>
        <w:t xml:space="preserve">, </w:t>
      </w:r>
      <w:r w:rsidRPr="000B4E24">
        <w:rPr>
          <w:i/>
          <w:sz w:val="24"/>
          <w:szCs w:val="24"/>
          <w:lang w:val="hr-HR"/>
        </w:rPr>
        <w:t>Prosecution v. Popović et. al</w:t>
      </w:r>
      <w:r w:rsidRPr="000B4E24">
        <w:rPr>
          <w:sz w:val="24"/>
          <w:szCs w:val="24"/>
          <w:lang w:val="hr-HR"/>
        </w:rPr>
        <w:t xml:space="preserve">. (Case No. IT-05-88-T), </w:t>
      </w:r>
      <w:r w:rsidRPr="000B4E24">
        <w:rPr>
          <w:i/>
          <w:sz w:val="24"/>
          <w:szCs w:val="24"/>
          <w:lang w:val="hr-HR"/>
        </w:rPr>
        <w:t>Prosecutor v. Zdravko Tolimir (Case No.</w:t>
      </w:r>
      <w:r w:rsidRPr="000B4E24">
        <w:rPr>
          <w:sz w:val="24"/>
          <w:szCs w:val="24"/>
          <w:lang w:val="hr-HR"/>
        </w:rPr>
        <w:t xml:space="preserve"> IT-05-88/2-PT).Available online: </w:t>
      </w:r>
    </w:p>
    <w:p w14:paraId="744AB08A" w14:textId="77777777" w:rsidR="00786BCF" w:rsidRPr="000B4E24" w:rsidRDefault="00786BCF" w:rsidP="0030451D">
      <w:pPr>
        <w:pStyle w:val="FootnoteText"/>
        <w:jc w:val="both"/>
        <w:rPr>
          <w:sz w:val="24"/>
          <w:szCs w:val="24"/>
          <w:lang w:val="hr-HR"/>
        </w:rPr>
      </w:pPr>
      <w:r w:rsidRPr="000B4E24">
        <w:rPr>
          <w:sz w:val="24"/>
          <w:szCs w:val="24"/>
          <w:lang w:val="hr-HR"/>
        </w:rPr>
        <w:t>http://www.icty.org/x/cases/krstic/ind/en/krs-1ai991027e.pdf</w:t>
      </w:r>
    </w:p>
    <w:p w14:paraId="70639A23" w14:textId="77777777" w:rsidR="00786BCF" w:rsidRPr="000B4E24" w:rsidRDefault="006334B7" w:rsidP="0030451D">
      <w:pPr>
        <w:pStyle w:val="FootnoteText"/>
        <w:jc w:val="both"/>
        <w:rPr>
          <w:sz w:val="24"/>
          <w:szCs w:val="24"/>
          <w:lang w:val="hr-HR"/>
        </w:rPr>
      </w:pPr>
      <w:hyperlink r:id="rId12" w:history="1">
        <w:r w:rsidR="00786BCF" w:rsidRPr="000B4E24">
          <w:rPr>
            <w:rStyle w:val="Hyperlink"/>
            <w:sz w:val="24"/>
            <w:szCs w:val="24"/>
            <w:lang w:val="hr-HR"/>
          </w:rPr>
          <w:t>http://www.icty.org/x/cases/popovic/ind/en/popovic-060804.pdf</w:t>
        </w:r>
      </w:hyperlink>
    </w:p>
    <w:p w14:paraId="381D223B" w14:textId="77777777" w:rsidR="00786BCF" w:rsidRPr="001F3A37" w:rsidRDefault="00786BCF" w:rsidP="0030451D">
      <w:pPr>
        <w:pStyle w:val="FootnoteText"/>
        <w:jc w:val="both"/>
        <w:rPr>
          <w:sz w:val="24"/>
          <w:szCs w:val="24"/>
          <w:lang w:val="hr-HR"/>
        </w:rPr>
      </w:pPr>
      <w:r w:rsidRPr="000B4E24">
        <w:rPr>
          <w:sz w:val="24"/>
          <w:szCs w:val="24"/>
          <w:lang w:val="hr-HR"/>
        </w:rPr>
        <w:t>http://www.icty.org/x/cases/tolimir/ind/en/091104.pdf</w:t>
      </w:r>
    </w:p>
    <w:p w14:paraId="50B71277" w14:textId="77777777" w:rsidR="00786BCF" w:rsidRPr="001F3A37" w:rsidRDefault="00786BCF" w:rsidP="0030451D">
      <w:pPr>
        <w:pStyle w:val="FootnoteText"/>
        <w:jc w:val="both"/>
        <w:rPr>
          <w:sz w:val="24"/>
          <w:szCs w:val="24"/>
          <w:lang w:val="hr-HR"/>
        </w:rPr>
      </w:pPr>
    </w:p>
    <w:p w14:paraId="1A4C41B0" w14:textId="77777777" w:rsidR="00786BCF" w:rsidRDefault="00786BCF" w:rsidP="0030451D">
      <w:pPr>
        <w:pStyle w:val="FootnoteText"/>
        <w:jc w:val="both"/>
        <w:rPr>
          <w:sz w:val="24"/>
          <w:szCs w:val="24"/>
          <w:lang w:val="hr-HR"/>
        </w:rPr>
      </w:pPr>
      <w:proofErr w:type="spellStart"/>
      <w:r w:rsidRPr="001F3A37">
        <w:rPr>
          <w:lang w:val="en-US"/>
        </w:rPr>
        <w:lastRenderedPageBreak/>
        <w:t>ICTY</w:t>
      </w:r>
      <w:proofErr w:type="spellEnd"/>
      <w:r w:rsidRPr="001F3A37">
        <w:rPr>
          <w:lang w:val="en-US"/>
        </w:rPr>
        <w:t xml:space="preserve"> Indictment against </w:t>
      </w:r>
      <w:proofErr w:type="spellStart"/>
      <w:r w:rsidRPr="001F3A37">
        <w:rPr>
          <w:lang w:val="en-US"/>
        </w:rPr>
        <w:t>Milosevi</w:t>
      </w:r>
      <w:proofErr w:type="spellEnd"/>
      <w:r w:rsidRPr="000B4E24">
        <w:rPr>
          <w:sz w:val="24"/>
          <w:szCs w:val="24"/>
          <w:lang w:val="hr-HR"/>
        </w:rPr>
        <w:t>ć, consisting of three different documents</w:t>
      </w:r>
      <w:r w:rsidRPr="001F3A37">
        <w:rPr>
          <w:lang w:val="en-US"/>
        </w:rPr>
        <w:t xml:space="preserve">: a Croatia, a </w:t>
      </w:r>
      <w:proofErr w:type="spellStart"/>
      <w:r w:rsidRPr="001F3A37">
        <w:rPr>
          <w:lang w:val="en-US"/>
        </w:rPr>
        <w:t>BiH</w:t>
      </w:r>
      <w:proofErr w:type="spellEnd"/>
      <w:r w:rsidRPr="001F3A37">
        <w:rPr>
          <w:lang w:val="en-US"/>
        </w:rPr>
        <w:t xml:space="preserve"> and a Kosovo indictment. </w:t>
      </w:r>
      <w:r>
        <w:rPr>
          <w:sz w:val="24"/>
          <w:szCs w:val="24"/>
          <w:lang w:val="en-US"/>
        </w:rPr>
        <w:t xml:space="preserve"> </w:t>
      </w:r>
      <w:r w:rsidRPr="001F3A37">
        <w:rPr>
          <w:lang w:val="en-US"/>
        </w:rPr>
        <w:t xml:space="preserve">For the point made in this chapter only the </w:t>
      </w:r>
      <w:proofErr w:type="spellStart"/>
      <w:r w:rsidRPr="001F3A37">
        <w:rPr>
          <w:lang w:val="en-US"/>
        </w:rPr>
        <w:t>BiH</w:t>
      </w:r>
      <w:proofErr w:type="spellEnd"/>
      <w:r w:rsidRPr="001F3A37">
        <w:rPr>
          <w:lang w:val="en-US"/>
        </w:rPr>
        <w:t xml:space="preserve"> indictment is of relevance. </w:t>
      </w:r>
      <w:r w:rsidRPr="001F3A37">
        <w:rPr>
          <w:i/>
          <w:lang w:val="en-US"/>
        </w:rPr>
        <w:t>Prosecutor v. Slobodan Milosevic</w:t>
      </w:r>
      <w:r w:rsidRPr="001F3A37">
        <w:rPr>
          <w:lang w:val="en-US"/>
        </w:rPr>
        <w:t>, (Case No. IT-02-54)</w:t>
      </w:r>
      <w:r>
        <w:rPr>
          <w:sz w:val="24"/>
          <w:szCs w:val="24"/>
          <w:lang w:val="hr-HR"/>
        </w:rPr>
        <w:t xml:space="preserve">. </w:t>
      </w:r>
      <w:r w:rsidRPr="000B4E24">
        <w:rPr>
          <w:sz w:val="24"/>
          <w:szCs w:val="24"/>
          <w:lang w:val="hr-HR"/>
        </w:rPr>
        <w:t>Availab</w:t>
      </w:r>
      <w:r>
        <w:rPr>
          <w:sz w:val="24"/>
          <w:szCs w:val="24"/>
          <w:lang w:val="hr-HR"/>
        </w:rPr>
        <w:t>le</w:t>
      </w:r>
      <w:r w:rsidRPr="000B4E24">
        <w:rPr>
          <w:sz w:val="24"/>
          <w:szCs w:val="24"/>
          <w:lang w:val="hr-HR"/>
        </w:rPr>
        <w:t xml:space="preserve"> online: </w:t>
      </w:r>
    </w:p>
    <w:p w14:paraId="7A80CA56" w14:textId="77777777" w:rsidR="00786BCF" w:rsidRPr="000B4E24" w:rsidRDefault="006334B7" w:rsidP="0030451D">
      <w:pPr>
        <w:pStyle w:val="FootnoteText"/>
        <w:jc w:val="both"/>
        <w:rPr>
          <w:sz w:val="24"/>
          <w:szCs w:val="24"/>
          <w:lang w:val="hr-HR"/>
        </w:rPr>
      </w:pPr>
      <w:hyperlink r:id="rId13" w:history="1">
        <w:r w:rsidR="00786BCF" w:rsidRPr="000B4E24">
          <w:rPr>
            <w:rStyle w:val="Hyperlink"/>
            <w:sz w:val="24"/>
            <w:szCs w:val="24"/>
            <w:lang w:val="hr-HR"/>
          </w:rPr>
          <w:t>http://www.icty.org/x/cases/slobodan_milosevic/ind/en/mil-2ai020728e.htm</w:t>
        </w:r>
      </w:hyperlink>
    </w:p>
    <w:p w14:paraId="39DF376F" w14:textId="77777777" w:rsidR="00786BCF" w:rsidRPr="000B4E24" w:rsidRDefault="006334B7" w:rsidP="0030451D">
      <w:pPr>
        <w:pStyle w:val="FootnoteText"/>
        <w:jc w:val="both"/>
        <w:rPr>
          <w:sz w:val="24"/>
          <w:szCs w:val="24"/>
          <w:lang w:val="hr-HR"/>
        </w:rPr>
      </w:pPr>
      <w:hyperlink r:id="rId14" w:history="1">
        <w:r w:rsidR="00786BCF" w:rsidRPr="000B4E24">
          <w:rPr>
            <w:rStyle w:val="Hyperlink"/>
            <w:sz w:val="24"/>
            <w:szCs w:val="24"/>
            <w:lang w:val="hr-HR"/>
          </w:rPr>
          <w:t>http://www.icty.org/x/cases/slobodan_milosevic/ind/en/mil-ai040421-e.htm</w:t>
        </w:r>
      </w:hyperlink>
    </w:p>
    <w:p w14:paraId="435E7045" w14:textId="77777777" w:rsidR="00786BCF" w:rsidRPr="001F3A37" w:rsidRDefault="00786BCF" w:rsidP="0030451D">
      <w:pPr>
        <w:pStyle w:val="FootnoteText"/>
        <w:jc w:val="both"/>
        <w:rPr>
          <w:sz w:val="24"/>
          <w:szCs w:val="24"/>
          <w:lang w:val="hr-HR"/>
        </w:rPr>
      </w:pPr>
      <w:r w:rsidRPr="000B4E24">
        <w:rPr>
          <w:sz w:val="24"/>
          <w:szCs w:val="24"/>
          <w:lang w:val="hr-HR"/>
        </w:rPr>
        <w:t>http://www.icty.org/x/cases/slobodan_milosevic/ind/en/mil-2ai011029e.htm</w:t>
      </w:r>
    </w:p>
    <w:p w14:paraId="1905E3D5" w14:textId="77777777" w:rsidR="00786BCF" w:rsidRPr="001F3A37" w:rsidRDefault="00786BCF" w:rsidP="0030451D">
      <w:pPr>
        <w:pStyle w:val="FootnoteText"/>
        <w:jc w:val="both"/>
        <w:rPr>
          <w:sz w:val="24"/>
          <w:szCs w:val="24"/>
          <w:lang w:val="hr-HR"/>
        </w:rPr>
      </w:pPr>
    </w:p>
    <w:p w14:paraId="120210EA" w14:textId="77777777" w:rsidR="00786BCF" w:rsidRDefault="00786BCF" w:rsidP="0030451D">
      <w:pPr>
        <w:pStyle w:val="FootnoteText"/>
        <w:jc w:val="both"/>
        <w:rPr>
          <w:sz w:val="24"/>
          <w:szCs w:val="24"/>
          <w:lang w:val="hr-HR"/>
        </w:rPr>
      </w:pPr>
      <w:proofErr w:type="spellStart"/>
      <w:r w:rsidRPr="001F3A37">
        <w:rPr>
          <w:lang w:val="en-US"/>
        </w:rPr>
        <w:t>ICTY</w:t>
      </w:r>
      <w:proofErr w:type="spellEnd"/>
      <w:r w:rsidRPr="001F3A37">
        <w:rPr>
          <w:lang w:val="en-US"/>
        </w:rPr>
        <w:t xml:space="preserve"> Indictments:</w:t>
      </w:r>
      <w:r w:rsidRPr="001F3A37">
        <w:rPr>
          <w:i/>
          <w:lang w:val="en-US"/>
        </w:rPr>
        <w:t xml:space="preserve"> Prosecution v. </w:t>
      </w:r>
      <w:proofErr w:type="spellStart"/>
      <w:r w:rsidRPr="001F3A37">
        <w:rPr>
          <w:i/>
          <w:lang w:val="en-US"/>
        </w:rPr>
        <w:t>Stani</w:t>
      </w:r>
      <w:proofErr w:type="spellEnd"/>
      <w:r w:rsidRPr="000B4E24">
        <w:rPr>
          <w:i/>
          <w:sz w:val="24"/>
          <w:szCs w:val="24"/>
          <w:lang w:val="hr-HR"/>
        </w:rPr>
        <w:t xml:space="preserve">šić-Simatović </w:t>
      </w:r>
      <w:r w:rsidRPr="000B4E24">
        <w:rPr>
          <w:sz w:val="24"/>
          <w:szCs w:val="24"/>
          <w:lang w:val="en-US"/>
        </w:rPr>
        <w:t xml:space="preserve">(Case No. </w:t>
      </w:r>
      <w:r w:rsidRPr="001F3A37">
        <w:rPr>
          <w:lang w:val="en-US"/>
        </w:rPr>
        <w:t>IT-03-69-PT)</w:t>
      </w:r>
      <w:r w:rsidRPr="000B4E24">
        <w:rPr>
          <w:sz w:val="24"/>
          <w:szCs w:val="24"/>
          <w:lang w:val="en-US"/>
        </w:rPr>
        <w:t xml:space="preserve">; </w:t>
      </w:r>
      <w:r w:rsidRPr="000B4E24">
        <w:rPr>
          <w:i/>
          <w:sz w:val="24"/>
          <w:szCs w:val="24"/>
          <w:lang w:val="en-US"/>
        </w:rPr>
        <w:t>Prosecutor v. Mom</w:t>
      </w:r>
      <w:r w:rsidRPr="000B4E24">
        <w:rPr>
          <w:i/>
          <w:sz w:val="24"/>
          <w:szCs w:val="24"/>
          <w:lang w:val="hr-HR"/>
        </w:rPr>
        <w:t xml:space="preserve">čilo Perišić </w:t>
      </w:r>
      <w:r w:rsidRPr="000B4E24">
        <w:rPr>
          <w:sz w:val="24"/>
          <w:szCs w:val="24"/>
          <w:lang w:val="hr-HR"/>
        </w:rPr>
        <w:t>(Case No. IT-04-81-PT).</w:t>
      </w:r>
      <w:r>
        <w:rPr>
          <w:sz w:val="24"/>
          <w:szCs w:val="24"/>
          <w:lang w:val="hr-HR"/>
        </w:rPr>
        <w:t xml:space="preserve"> </w:t>
      </w:r>
      <w:r w:rsidRPr="000B4E24">
        <w:rPr>
          <w:sz w:val="24"/>
          <w:szCs w:val="24"/>
          <w:lang w:val="hr-HR"/>
        </w:rPr>
        <w:t xml:space="preserve">Available online: </w:t>
      </w:r>
    </w:p>
    <w:p w14:paraId="744F8CC3" w14:textId="77777777" w:rsidR="00786BCF" w:rsidRPr="000B4E24" w:rsidRDefault="006334B7" w:rsidP="0030451D">
      <w:pPr>
        <w:pStyle w:val="FootnoteText"/>
        <w:jc w:val="both"/>
        <w:rPr>
          <w:sz w:val="24"/>
          <w:szCs w:val="24"/>
          <w:lang w:val="hr-HR"/>
        </w:rPr>
      </w:pPr>
      <w:hyperlink r:id="rId15" w:history="1">
        <w:r w:rsidR="00786BCF" w:rsidRPr="000B4E24">
          <w:rPr>
            <w:rStyle w:val="Hyperlink"/>
            <w:sz w:val="24"/>
            <w:szCs w:val="24"/>
            <w:lang w:val="hr-HR"/>
          </w:rPr>
          <w:t>http://www.icty.org/x/cases/stanisic_simatovic/ind/en/staj-in3rdamd080710.pdf</w:t>
        </w:r>
      </w:hyperlink>
    </w:p>
    <w:p w14:paraId="2AD8180A" w14:textId="77777777" w:rsidR="00786BCF" w:rsidRPr="001F3A37" w:rsidRDefault="00786BCF" w:rsidP="0030451D">
      <w:pPr>
        <w:pStyle w:val="FootnoteText"/>
        <w:jc w:val="both"/>
        <w:rPr>
          <w:sz w:val="24"/>
          <w:szCs w:val="24"/>
          <w:lang w:val="hr-HR"/>
        </w:rPr>
      </w:pPr>
      <w:r w:rsidRPr="000B4E24">
        <w:rPr>
          <w:sz w:val="24"/>
          <w:szCs w:val="24"/>
          <w:lang w:val="en-US"/>
        </w:rPr>
        <w:t>http</w:t>
      </w:r>
      <w:r w:rsidRPr="000B4E24">
        <w:rPr>
          <w:sz w:val="24"/>
          <w:szCs w:val="24"/>
          <w:lang w:val="hr-HR"/>
        </w:rPr>
        <w:t>://</w:t>
      </w:r>
      <w:r w:rsidRPr="000B4E24">
        <w:rPr>
          <w:sz w:val="24"/>
          <w:szCs w:val="24"/>
          <w:lang w:val="en-US"/>
        </w:rPr>
        <w:t>www</w:t>
      </w:r>
      <w:r w:rsidRPr="000B4E24">
        <w:rPr>
          <w:sz w:val="24"/>
          <w:szCs w:val="24"/>
          <w:lang w:val="hr-HR"/>
        </w:rPr>
        <w:t>.</w:t>
      </w:r>
      <w:proofErr w:type="spellStart"/>
      <w:r w:rsidRPr="000B4E24">
        <w:rPr>
          <w:sz w:val="24"/>
          <w:szCs w:val="24"/>
          <w:lang w:val="en-US"/>
        </w:rPr>
        <w:t>icty</w:t>
      </w:r>
      <w:proofErr w:type="spellEnd"/>
      <w:r w:rsidRPr="000B4E24">
        <w:rPr>
          <w:sz w:val="24"/>
          <w:szCs w:val="24"/>
          <w:lang w:val="hr-HR"/>
        </w:rPr>
        <w:t>.</w:t>
      </w:r>
      <w:r w:rsidRPr="000B4E24">
        <w:rPr>
          <w:sz w:val="24"/>
          <w:szCs w:val="24"/>
          <w:lang w:val="en-US"/>
        </w:rPr>
        <w:t>org</w:t>
      </w:r>
      <w:r w:rsidRPr="000B4E24">
        <w:rPr>
          <w:sz w:val="24"/>
          <w:szCs w:val="24"/>
          <w:lang w:val="hr-HR"/>
        </w:rPr>
        <w:t>/</w:t>
      </w:r>
      <w:r w:rsidRPr="000B4E24">
        <w:rPr>
          <w:sz w:val="24"/>
          <w:szCs w:val="24"/>
          <w:lang w:val="en-US"/>
        </w:rPr>
        <w:t>x</w:t>
      </w:r>
      <w:r w:rsidRPr="000B4E24">
        <w:rPr>
          <w:sz w:val="24"/>
          <w:szCs w:val="24"/>
          <w:lang w:val="hr-HR"/>
        </w:rPr>
        <w:t>/</w:t>
      </w:r>
      <w:r w:rsidRPr="000B4E24">
        <w:rPr>
          <w:sz w:val="24"/>
          <w:szCs w:val="24"/>
          <w:lang w:val="en-US"/>
        </w:rPr>
        <w:t>cases</w:t>
      </w:r>
      <w:r w:rsidRPr="000B4E24">
        <w:rPr>
          <w:sz w:val="24"/>
          <w:szCs w:val="24"/>
          <w:lang w:val="hr-HR"/>
        </w:rPr>
        <w:t>/</w:t>
      </w:r>
      <w:proofErr w:type="spellStart"/>
      <w:r w:rsidRPr="000B4E24">
        <w:rPr>
          <w:sz w:val="24"/>
          <w:szCs w:val="24"/>
          <w:lang w:val="en-US"/>
        </w:rPr>
        <w:t>perisic</w:t>
      </w:r>
      <w:proofErr w:type="spellEnd"/>
      <w:r w:rsidRPr="000B4E24">
        <w:rPr>
          <w:sz w:val="24"/>
          <w:szCs w:val="24"/>
          <w:lang w:val="hr-HR"/>
        </w:rPr>
        <w:t>/</w:t>
      </w:r>
      <w:proofErr w:type="spellStart"/>
      <w:r w:rsidRPr="000B4E24">
        <w:rPr>
          <w:sz w:val="24"/>
          <w:szCs w:val="24"/>
          <w:lang w:val="en-US"/>
        </w:rPr>
        <w:t>ind</w:t>
      </w:r>
      <w:proofErr w:type="spellEnd"/>
      <w:r w:rsidRPr="000B4E24">
        <w:rPr>
          <w:sz w:val="24"/>
          <w:szCs w:val="24"/>
          <w:lang w:val="hr-HR"/>
        </w:rPr>
        <w:t>/</w:t>
      </w:r>
      <w:r w:rsidRPr="000B4E24">
        <w:rPr>
          <w:sz w:val="24"/>
          <w:szCs w:val="24"/>
          <w:lang w:val="en-US"/>
        </w:rPr>
        <w:t>en</w:t>
      </w:r>
      <w:r w:rsidRPr="000B4E24">
        <w:rPr>
          <w:sz w:val="24"/>
          <w:szCs w:val="24"/>
          <w:lang w:val="hr-HR"/>
        </w:rPr>
        <w:t>/</w:t>
      </w:r>
      <w:r w:rsidRPr="000B4E24">
        <w:rPr>
          <w:sz w:val="24"/>
          <w:szCs w:val="24"/>
          <w:lang w:val="en-US"/>
        </w:rPr>
        <w:t>per</w:t>
      </w:r>
      <w:r w:rsidRPr="000B4E24">
        <w:rPr>
          <w:sz w:val="24"/>
          <w:szCs w:val="24"/>
          <w:lang w:val="hr-HR"/>
        </w:rPr>
        <w:t>-</w:t>
      </w:r>
      <w:proofErr w:type="spellStart"/>
      <w:r w:rsidRPr="000B4E24">
        <w:rPr>
          <w:sz w:val="24"/>
          <w:szCs w:val="24"/>
          <w:lang w:val="en-US"/>
        </w:rPr>
        <w:t>sai</w:t>
      </w:r>
      <w:proofErr w:type="spellEnd"/>
      <w:r w:rsidRPr="000B4E24">
        <w:rPr>
          <w:sz w:val="24"/>
          <w:szCs w:val="24"/>
          <w:lang w:val="hr-HR"/>
        </w:rPr>
        <w:t>080205</w:t>
      </w:r>
      <w:r w:rsidRPr="000B4E24">
        <w:rPr>
          <w:sz w:val="24"/>
          <w:szCs w:val="24"/>
          <w:lang w:val="en-US"/>
        </w:rPr>
        <w:t>e</w:t>
      </w:r>
      <w:r w:rsidRPr="000B4E24">
        <w:rPr>
          <w:sz w:val="24"/>
          <w:szCs w:val="24"/>
          <w:lang w:val="hr-HR"/>
        </w:rPr>
        <w:t>.</w:t>
      </w:r>
      <w:proofErr w:type="spellStart"/>
      <w:r w:rsidRPr="000B4E24">
        <w:rPr>
          <w:sz w:val="24"/>
          <w:szCs w:val="24"/>
          <w:lang w:val="en-US"/>
        </w:rPr>
        <w:t>pdf</w:t>
      </w:r>
      <w:proofErr w:type="spellEnd"/>
    </w:p>
    <w:p w14:paraId="3F1F1392" w14:textId="77777777" w:rsidR="00786BCF" w:rsidRPr="000B4E24" w:rsidRDefault="00786BCF" w:rsidP="0030451D">
      <w:pPr>
        <w:pStyle w:val="FootnoteText"/>
        <w:jc w:val="both"/>
        <w:rPr>
          <w:sz w:val="24"/>
          <w:szCs w:val="24"/>
          <w:lang w:val="hr-HR"/>
        </w:rPr>
      </w:pPr>
      <w:proofErr w:type="spellStart"/>
      <w:r w:rsidRPr="001F3A37">
        <w:rPr>
          <w:sz w:val="24"/>
          <w:szCs w:val="24"/>
          <w:lang w:val="en-US"/>
        </w:rPr>
        <w:t>ICTY</w:t>
      </w:r>
      <w:proofErr w:type="spellEnd"/>
      <w:r w:rsidRPr="001F3A37">
        <w:rPr>
          <w:sz w:val="24"/>
          <w:szCs w:val="24"/>
          <w:lang w:val="en-US"/>
        </w:rPr>
        <w:t xml:space="preserve"> Judgment Summary in the </w:t>
      </w:r>
      <w:r w:rsidRPr="000B4E24">
        <w:rPr>
          <w:i/>
          <w:sz w:val="24"/>
          <w:szCs w:val="24"/>
          <w:lang w:val="en-US"/>
        </w:rPr>
        <w:t>Prosecutor v. Mom</w:t>
      </w:r>
      <w:r w:rsidRPr="000B4E24">
        <w:rPr>
          <w:i/>
          <w:sz w:val="24"/>
          <w:szCs w:val="24"/>
          <w:lang w:val="hr-HR"/>
        </w:rPr>
        <w:t xml:space="preserve">čilo Perišić </w:t>
      </w:r>
      <w:r w:rsidRPr="000B4E24">
        <w:rPr>
          <w:sz w:val="24"/>
          <w:szCs w:val="24"/>
          <w:lang w:val="hr-HR"/>
        </w:rPr>
        <w:t>(Case No. IT-04-81-PT).</w:t>
      </w:r>
    </w:p>
    <w:p w14:paraId="263E9D02" w14:textId="77777777" w:rsidR="00786BCF" w:rsidRPr="001F3A37" w:rsidRDefault="00786BCF" w:rsidP="0030451D">
      <w:pPr>
        <w:pStyle w:val="FootnoteText"/>
        <w:jc w:val="both"/>
        <w:rPr>
          <w:sz w:val="24"/>
          <w:szCs w:val="24"/>
          <w:lang w:val="en-US"/>
        </w:rPr>
      </w:pPr>
      <w:r w:rsidRPr="000B4E24">
        <w:rPr>
          <w:sz w:val="24"/>
          <w:szCs w:val="24"/>
          <w:lang w:val="hr-HR"/>
        </w:rPr>
        <w:t>Available online: http://www.icty.org/x/cases/perisic/acjug/en/130228_summary.pdf</w:t>
      </w:r>
    </w:p>
    <w:p w14:paraId="4B1A2ED1" w14:textId="77777777" w:rsidR="00786BCF" w:rsidRPr="000B4E24" w:rsidRDefault="00786BCF" w:rsidP="001F3A37">
      <w:pPr>
        <w:jc w:val="both"/>
        <w:rPr>
          <w:lang w:val="en-GB"/>
        </w:rPr>
      </w:pPr>
    </w:p>
    <w:p w14:paraId="4682E0A4" w14:textId="77777777" w:rsidR="00786BCF" w:rsidRPr="000B4E24" w:rsidRDefault="00786BCF" w:rsidP="001F3A37">
      <w:pPr>
        <w:jc w:val="both"/>
        <w:rPr>
          <w:lang w:val="en-GB"/>
        </w:rPr>
      </w:pPr>
    </w:p>
    <w:p w14:paraId="25F0CFD1" w14:textId="77777777" w:rsidR="00786BCF" w:rsidRPr="000B4E24" w:rsidRDefault="00786BCF" w:rsidP="0030451D">
      <w:pPr>
        <w:spacing w:line="360" w:lineRule="auto"/>
        <w:jc w:val="both"/>
        <w:rPr>
          <w:lang w:val="en-US"/>
        </w:rPr>
      </w:pPr>
    </w:p>
    <w:p w14:paraId="22614F68" w14:textId="77777777" w:rsidR="00786BCF" w:rsidRPr="000B4E24" w:rsidRDefault="00786BCF" w:rsidP="0030451D">
      <w:pPr>
        <w:spacing w:line="360" w:lineRule="auto"/>
        <w:jc w:val="both"/>
        <w:rPr>
          <w:lang w:val="en-US"/>
        </w:rPr>
      </w:pPr>
    </w:p>
    <w:p w14:paraId="0A301164" w14:textId="77777777" w:rsidR="00786BCF" w:rsidRPr="000B4E24" w:rsidRDefault="00786BCF" w:rsidP="0030451D">
      <w:pPr>
        <w:spacing w:line="360" w:lineRule="auto"/>
        <w:jc w:val="both"/>
        <w:rPr>
          <w:lang w:val="en-US"/>
        </w:rPr>
      </w:pPr>
    </w:p>
    <w:p w14:paraId="7117DD2D" w14:textId="77777777" w:rsidR="00786BCF" w:rsidRPr="000B4E24" w:rsidRDefault="00786BCF" w:rsidP="0030451D">
      <w:pPr>
        <w:spacing w:line="360" w:lineRule="auto"/>
        <w:jc w:val="both"/>
        <w:rPr>
          <w:lang w:val="en-US"/>
        </w:rPr>
      </w:pPr>
    </w:p>
    <w:p w14:paraId="3B8CFBDD" w14:textId="77777777" w:rsidR="00786BCF" w:rsidRPr="000B4E24" w:rsidRDefault="00786BCF" w:rsidP="0030451D">
      <w:pPr>
        <w:spacing w:line="360" w:lineRule="auto"/>
        <w:jc w:val="both"/>
        <w:rPr>
          <w:lang w:val="en-US"/>
        </w:rPr>
      </w:pPr>
    </w:p>
    <w:p w14:paraId="2AA71225" w14:textId="77777777" w:rsidR="00786BCF" w:rsidRPr="000B4E24" w:rsidRDefault="00786BCF" w:rsidP="0030451D">
      <w:pPr>
        <w:pStyle w:val="Paragraph"/>
        <w:rPr>
          <w:lang w:val="en-US"/>
        </w:rPr>
      </w:pPr>
    </w:p>
    <w:sectPr w:rsidR="00786BCF" w:rsidRPr="000B4E24" w:rsidSect="00262123">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D1929" w14:textId="77777777" w:rsidR="002D6BB0" w:rsidRDefault="002D6BB0" w:rsidP="00821E62">
      <w:r>
        <w:separator/>
      </w:r>
    </w:p>
  </w:endnote>
  <w:endnote w:type="continuationSeparator" w:id="0">
    <w:p w14:paraId="6798CC23" w14:textId="77777777" w:rsidR="002D6BB0" w:rsidRDefault="002D6BB0" w:rsidP="0082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imesPP">
    <w:altName w:val="Times New Roman"/>
    <w:charset w:val="00"/>
    <w:family w:val="auto"/>
    <w:pitch w:val="variable"/>
    <w:sig w:usb0="00000007" w:usb1="00000000" w:usb2="00000000" w:usb3="00000000" w:csb0="00000013"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FA533" w14:textId="77777777" w:rsidR="002D6BB0" w:rsidRDefault="002D6BB0" w:rsidP="00747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19608" w14:textId="77777777" w:rsidR="002D6BB0" w:rsidRDefault="002D6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FB322" w14:textId="77777777" w:rsidR="002D6BB0" w:rsidRDefault="002D6BB0" w:rsidP="00747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689">
      <w:rPr>
        <w:rStyle w:val="PageNumber"/>
        <w:noProof/>
      </w:rPr>
      <w:t>13</w:t>
    </w:r>
    <w:r>
      <w:rPr>
        <w:rStyle w:val="PageNumber"/>
      </w:rPr>
      <w:fldChar w:fldCharType="end"/>
    </w:r>
  </w:p>
  <w:p w14:paraId="3DE7EAF4" w14:textId="77777777" w:rsidR="002D6BB0" w:rsidRDefault="002D6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C5D3E" w14:textId="77777777" w:rsidR="002D6BB0" w:rsidRDefault="002D6BB0" w:rsidP="00821E62">
      <w:r>
        <w:separator/>
      </w:r>
    </w:p>
  </w:footnote>
  <w:footnote w:type="continuationSeparator" w:id="0">
    <w:p w14:paraId="41804005" w14:textId="77777777" w:rsidR="002D6BB0" w:rsidRDefault="002D6BB0" w:rsidP="00821E62">
      <w:r>
        <w:continuationSeparator/>
      </w:r>
    </w:p>
  </w:footnote>
  <w:footnote w:id="1">
    <w:p w14:paraId="0322DB09" w14:textId="77777777" w:rsidR="002D6BB0" w:rsidRDefault="002D6BB0">
      <w:pPr>
        <w:pStyle w:val="FootnoteText"/>
      </w:pPr>
      <w:r w:rsidRPr="00BB26B1">
        <w:rPr>
          <w:rStyle w:val="FootnoteReference"/>
        </w:rPr>
        <w:footnoteRef/>
      </w:r>
      <w:r w:rsidRPr="001F3A37">
        <w:rPr>
          <w:lang w:val="en-US"/>
        </w:rPr>
        <w:t xml:space="preserve"> </w:t>
      </w:r>
      <w:r w:rsidRPr="00BB26B1">
        <w:rPr>
          <w:lang w:val="hr-HR"/>
        </w:rPr>
        <w:t>See UN SC Resolutions 808 of 22 February 1993 and UN SC Resolution 827 of 25 May 1993.</w:t>
      </w:r>
    </w:p>
  </w:footnote>
  <w:footnote w:id="2">
    <w:p w14:paraId="1C85FB26" w14:textId="5F36020D" w:rsidR="002D6BB0" w:rsidRPr="00BB26B1" w:rsidRDefault="002D6BB0" w:rsidP="00BB26B1">
      <w:pPr>
        <w:rPr>
          <w:sz w:val="20"/>
          <w:szCs w:val="20"/>
          <w:lang w:val="en-GB"/>
        </w:rPr>
      </w:pPr>
      <w:r w:rsidRPr="00BB26B1">
        <w:rPr>
          <w:rStyle w:val="FootnoteReference"/>
          <w:sz w:val="20"/>
          <w:szCs w:val="20"/>
        </w:rPr>
        <w:footnoteRef/>
      </w:r>
      <w:r w:rsidRPr="001F3A37">
        <w:rPr>
          <w:sz w:val="20"/>
          <w:szCs w:val="20"/>
          <w:lang w:val="en-US"/>
        </w:rPr>
        <w:t xml:space="preserve"> S. </w:t>
      </w:r>
      <w:r w:rsidRPr="00BB26B1">
        <w:rPr>
          <w:sz w:val="20"/>
          <w:szCs w:val="20"/>
          <w:lang w:val="en-GB"/>
        </w:rPr>
        <w:t xml:space="preserve">Kaufman, ‘Escaping the Symbolic Trap: Reconciliation Initiatives and Conflict Resolution in Ethnic Wars’, </w:t>
      </w:r>
      <w:r w:rsidRPr="00BB26B1">
        <w:rPr>
          <w:i/>
          <w:sz w:val="20"/>
          <w:szCs w:val="20"/>
          <w:lang w:val="en-GB"/>
        </w:rPr>
        <w:t>Journal of Peace Research</w:t>
      </w:r>
      <w:r>
        <w:rPr>
          <w:sz w:val="20"/>
          <w:szCs w:val="20"/>
          <w:lang w:val="en-GB"/>
        </w:rPr>
        <w:t>, 2006,</w:t>
      </w:r>
      <w:r w:rsidRPr="00BB26B1">
        <w:rPr>
          <w:sz w:val="20"/>
          <w:szCs w:val="20"/>
          <w:lang w:val="en-GB"/>
        </w:rPr>
        <w:t xml:space="preserve"> 201.</w:t>
      </w:r>
    </w:p>
    <w:p w14:paraId="5B00A7C3" w14:textId="77777777" w:rsidR="002D6BB0" w:rsidRDefault="002D6BB0" w:rsidP="00BB26B1"/>
  </w:footnote>
  <w:footnote w:id="3">
    <w:p w14:paraId="4330BE34" w14:textId="77777777" w:rsidR="002D6BB0" w:rsidRDefault="002D6BB0">
      <w:pPr>
        <w:pStyle w:val="FootnoteText"/>
      </w:pPr>
      <w:r w:rsidRPr="00BB26B1">
        <w:rPr>
          <w:rStyle w:val="FootnoteReference"/>
        </w:rPr>
        <w:footnoteRef/>
      </w:r>
      <w:r w:rsidRPr="001F3A37">
        <w:rPr>
          <w:lang w:val="en-US"/>
        </w:rPr>
        <w:t xml:space="preserve"> M. </w:t>
      </w:r>
      <w:r w:rsidRPr="00BB26B1">
        <w:rPr>
          <w:lang w:val="en-GB"/>
        </w:rPr>
        <w:t xml:space="preserve">Ross, ‘Ritual and the Politics of Reconciliation’, in </w:t>
      </w:r>
      <w:r w:rsidRPr="00BB26B1">
        <w:rPr>
          <w:i/>
          <w:lang w:val="en-GB"/>
        </w:rPr>
        <w:t>From Conflict Resolution to Reconciliation</w:t>
      </w:r>
      <w:r w:rsidRPr="00BB26B1">
        <w:rPr>
          <w:lang w:val="en-GB"/>
        </w:rPr>
        <w:t>, Bar-</w:t>
      </w:r>
      <w:proofErr w:type="spellStart"/>
      <w:r w:rsidRPr="00BB26B1">
        <w:rPr>
          <w:lang w:val="en-GB"/>
        </w:rPr>
        <w:t>Siman</w:t>
      </w:r>
      <w:proofErr w:type="spellEnd"/>
      <w:r w:rsidRPr="00BB26B1">
        <w:rPr>
          <w:lang w:val="en-GB"/>
        </w:rPr>
        <w:t xml:space="preserve">-Tov, </w:t>
      </w:r>
      <w:proofErr w:type="spellStart"/>
      <w:r w:rsidRPr="00BB26B1">
        <w:rPr>
          <w:lang w:val="en-GB"/>
        </w:rPr>
        <w:t>Yaacov</w:t>
      </w:r>
      <w:proofErr w:type="spellEnd"/>
      <w:r w:rsidRPr="00BB26B1">
        <w:rPr>
          <w:lang w:val="en-GB"/>
        </w:rPr>
        <w:t xml:space="preserve">, </w:t>
      </w:r>
      <w:proofErr w:type="gramStart"/>
      <w:r w:rsidRPr="00BB26B1">
        <w:rPr>
          <w:lang w:val="en-GB"/>
        </w:rPr>
        <w:t>Oxford</w:t>
      </w:r>
      <w:proofErr w:type="gramEnd"/>
      <w:r w:rsidRPr="00BB26B1">
        <w:rPr>
          <w:lang w:val="en-GB"/>
        </w:rPr>
        <w:t>: Oxford University Press, 2004: 202.</w:t>
      </w:r>
    </w:p>
  </w:footnote>
  <w:footnote w:id="4">
    <w:p w14:paraId="3FFDACFA" w14:textId="77777777" w:rsidR="002D6BB0" w:rsidRPr="00250C20" w:rsidRDefault="002D6BB0" w:rsidP="00250C20">
      <w:pPr>
        <w:rPr>
          <w:sz w:val="20"/>
          <w:szCs w:val="20"/>
          <w:lang w:val="en-GB"/>
        </w:rPr>
      </w:pPr>
      <w:r w:rsidRPr="00250C20">
        <w:rPr>
          <w:rStyle w:val="FootnoteReference"/>
          <w:sz w:val="20"/>
          <w:szCs w:val="20"/>
        </w:rPr>
        <w:footnoteRef/>
      </w:r>
      <w:r w:rsidRPr="001F3A37">
        <w:rPr>
          <w:sz w:val="20"/>
          <w:szCs w:val="20"/>
          <w:lang w:val="en-US"/>
        </w:rPr>
        <w:t xml:space="preserve"> T. </w:t>
      </w:r>
      <w:r w:rsidRPr="00250C20">
        <w:rPr>
          <w:sz w:val="20"/>
          <w:szCs w:val="20"/>
          <w:lang w:val="en-GB"/>
        </w:rPr>
        <w:t xml:space="preserve">Hermann, ‘Reconciliation: Reflections on the Theoretical and Practical Utility of the Term’ in </w:t>
      </w:r>
      <w:r w:rsidRPr="00250C20">
        <w:rPr>
          <w:i/>
          <w:sz w:val="20"/>
          <w:szCs w:val="20"/>
          <w:lang w:val="en-GB"/>
        </w:rPr>
        <w:t>From Conflict Resolution to Reconciliation</w:t>
      </w:r>
      <w:r w:rsidRPr="00250C20">
        <w:rPr>
          <w:sz w:val="20"/>
          <w:szCs w:val="20"/>
          <w:lang w:val="en-GB"/>
        </w:rPr>
        <w:t>, Bar-</w:t>
      </w:r>
      <w:proofErr w:type="spellStart"/>
      <w:r w:rsidRPr="00250C20">
        <w:rPr>
          <w:sz w:val="20"/>
          <w:szCs w:val="20"/>
          <w:lang w:val="en-GB"/>
        </w:rPr>
        <w:t>Siman</w:t>
      </w:r>
      <w:proofErr w:type="spellEnd"/>
      <w:r w:rsidRPr="00250C20">
        <w:rPr>
          <w:sz w:val="20"/>
          <w:szCs w:val="20"/>
          <w:lang w:val="en-GB"/>
        </w:rPr>
        <w:t xml:space="preserve">-Tov, </w:t>
      </w:r>
      <w:proofErr w:type="spellStart"/>
      <w:r w:rsidRPr="00250C20">
        <w:rPr>
          <w:sz w:val="20"/>
          <w:szCs w:val="20"/>
          <w:lang w:val="en-GB"/>
        </w:rPr>
        <w:t>Yaacov</w:t>
      </w:r>
      <w:proofErr w:type="spellEnd"/>
      <w:r w:rsidRPr="00250C20">
        <w:rPr>
          <w:sz w:val="20"/>
          <w:szCs w:val="20"/>
          <w:lang w:val="en-GB"/>
        </w:rPr>
        <w:t>, Oxford: Oxford University Press, 2004, 42.</w:t>
      </w:r>
    </w:p>
    <w:p w14:paraId="01E1D5BB" w14:textId="77777777" w:rsidR="002D6BB0" w:rsidRDefault="002D6BB0" w:rsidP="00250C20">
      <w:r w:rsidRPr="00250C20">
        <w:rPr>
          <w:sz w:val="20"/>
          <w:szCs w:val="20"/>
          <w:lang w:val="en-GB"/>
        </w:rPr>
        <w:t xml:space="preserve">D. </w:t>
      </w:r>
      <w:proofErr w:type="spellStart"/>
      <w:r w:rsidRPr="00250C20">
        <w:rPr>
          <w:sz w:val="20"/>
          <w:szCs w:val="20"/>
          <w:lang w:val="en-GB"/>
        </w:rPr>
        <w:t>Bargal</w:t>
      </w:r>
      <w:proofErr w:type="spellEnd"/>
      <w:r w:rsidRPr="00250C20">
        <w:rPr>
          <w:sz w:val="20"/>
          <w:szCs w:val="20"/>
          <w:lang w:val="en-GB"/>
        </w:rPr>
        <w:t xml:space="preserve"> &amp; E. Sivan ‘Leadership and Reconciliation’, in </w:t>
      </w:r>
      <w:r w:rsidRPr="00250C20">
        <w:rPr>
          <w:i/>
          <w:sz w:val="20"/>
          <w:szCs w:val="20"/>
          <w:lang w:val="en-GB"/>
        </w:rPr>
        <w:t>From Conflict Resolution to Reconciliation</w:t>
      </w:r>
      <w:r w:rsidRPr="00250C20">
        <w:rPr>
          <w:sz w:val="20"/>
          <w:szCs w:val="20"/>
          <w:lang w:val="en-GB"/>
        </w:rPr>
        <w:t>, Bar-</w:t>
      </w:r>
      <w:proofErr w:type="spellStart"/>
      <w:r w:rsidRPr="00250C20">
        <w:rPr>
          <w:sz w:val="20"/>
          <w:szCs w:val="20"/>
          <w:lang w:val="en-GB"/>
        </w:rPr>
        <w:t>Siman</w:t>
      </w:r>
      <w:proofErr w:type="spellEnd"/>
      <w:r w:rsidRPr="00250C20">
        <w:rPr>
          <w:sz w:val="20"/>
          <w:szCs w:val="20"/>
          <w:lang w:val="en-GB"/>
        </w:rPr>
        <w:t xml:space="preserve">-Tov, </w:t>
      </w:r>
      <w:proofErr w:type="spellStart"/>
      <w:r w:rsidRPr="00250C20">
        <w:rPr>
          <w:sz w:val="20"/>
          <w:szCs w:val="20"/>
          <w:lang w:val="en-GB"/>
        </w:rPr>
        <w:t>Yaacov</w:t>
      </w:r>
      <w:proofErr w:type="spellEnd"/>
      <w:r w:rsidRPr="00250C20">
        <w:rPr>
          <w:sz w:val="20"/>
          <w:szCs w:val="20"/>
          <w:lang w:val="en-GB"/>
        </w:rPr>
        <w:t xml:space="preserve">, </w:t>
      </w:r>
      <w:proofErr w:type="gramStart"/>
      <w:r w:rsidRPr="00250C20">
        <w:rPr>
          <w:sz w:val="20"/>
          <w:szCs w:val="20"/>
          <w:lang w:val="en-GB"/>
        </w:rPr>
        <w:t>Oxford</w:t>
      </w:r>
      <w:proofErr w:type="gramEnd"/>
      <w:r w:rsidRPr="00250C20">
        <w:rPr>
          <w:sz w:val="20"/>
          <w:szCs w:val="20"/>
          <w:lang w:val="en-GB"/>
        </w:rPr>
        <w:t>: Oxford University Press, 2004,</w:t>
      </w:r>
      <w:r>
        <w:rPr>
          <w:sz w:val="20"/>
          <w:szCs w:val="20"/>
          <w:lang w:val="en-GB"/>
        </w:rPr>
        <w:t xml:space="preserve"> </w:t>
      </w:r>
      <w:r w:rsidRPr="00250C20">
        <w:rPr>
          <w:sz w:val="20"/>
          <w:szCs w:val="20"/>
          <w:lang w:val="en-GB"/>
        </w:rPr>
        <w:t>126.</w:t>
      </w:r>
      <w:r w:rsidRPr="00BB26B1">
        <w:rPr>
          <w:lang w:val="en-GB"/>
        </w:rPr>
        <w:t xml:space="preserve">  </w:t>
      </w:r>
    </w:p>
  </w:footnote>
  <w:footnote w:id="5">
    <w:p w14:paraId="4FD1116B" w14:textId="77777777" w:rsidR="002D6BB0" w:rsidRDefault="002D6BB0">
      <w:pPr>
        <w:pStyle w:val="FootnoteText"/>
      </w:pPr>
      <w:r w:rsidRPr="00250C20">
        <w:rPr>
          <w:rStyle w:val="FootnoteReference"/>
        </w:rPr>
        <w:footnoteRef/>
      </w:r>
      <w:r w:rsidRPr="001F3A37">
        <w:rPr>
          <w:lang w:val="en-US"/>
        </w:rPr>
        <w:t xml:space="preserve"> </w:t>
      </w:r>
      <w:proofErr w:type="gramStart"/>
      <w:r w:rsidRPr="00250C20">
        <w:rPr>
          <w:lang w:val="en-GB"/>
        </w:rPr>
        <w:t>Hermann, 2004, 43.</w:t>
      </w:r>
      <w:proofErr w:type="gramEnd"/>
      <w:r w:rsidRPr="00250C20">
        <w:rPr>
          <w:lang w:val="en-GB"/>
        </w:rPr>
        <w:t xml:space="preserve">  </w:t>
      </w:r>
    </w:p>
  </w:footnote>
  <w:footnote w:id="6">
    <w:p w14:paraId="22960F57" w14:textId="77777777" w:rsidR="002D6BB0" w:rsidRDefault="002D6BB0">
      <w:pPr>
        <w:pStyle w:val="FootnoteText"/>
      </w:pPr>
      <w:r w:rsidRPr="00250C20">
        <w:rPr>
          <w:rStyle w:val="FootnoteReference"/>
        </w:rPr>
        <w:footnoteRef/>
      </w:r>
      <w:r w:rsidRPr="001F3A37">
        <w:rPr>
          <w:lang w:val="en-US"/>
        </w:rPr>
        <w:t xml:space="preserve"> </w:t>
      </w:r>
      <w:proofErr w:type="gramStart"/>
      <w:r w:rsidRPr="00250C20">
        <w:rPr>
          <w:lang w:val="en-GB"/>
        </w:rPr>
        <w:t>Bar-</w:t>
      </w:r>
      <w:proofErr w:type="spellStart"/>
      <w:r w:rsidRPr="00250C20">
        <w:rPr>
          <w:lang w:val="en-GB"/>
        </w:rPr>
        <w:t>Siman</w:t>
      </w:r>
      <w:proofErr w:type="spellEnd"/>
      <w:r w:rsidRPr="00250C20">
        <w:rPr>
          <w:lang w:val="en-GB"/>
        </w:rPr>
        <w:t>-Tov, 2004, 47.</w:t>
      </w:r>
      <w:proofErr w:type="gramEnd"/>
      <w:r w:rsidRPr="00250C20">
        <w:rPr>
          <w:lang w:val="en-GB"/>
        </w:rPr>
        <w:t xml:space="preserve">  </w:t>
      </w:r>
    </w:p>
  </w:footnote>
  <w:footnote w:id="7">
    <w:p w14:paraId="71D74270" w14:textId="77777777" w:rsidR="002D6BB0" w:rsidRPr="00250C20" w:rsidRDefault="002D6BB0" w:rsidP="00250C20">
      <w:pPr>
        <w:rPr>
          <w:sz w:val="20"/>
          <w:szCs w:val="20"/>
          <w:lang w:val="en-GB"/>
        </w:rPr>
      </w:pPr>
      <w:r w:rsidRPr="00250C20">
        <w:rPr>
          <w:rStyle w:val="FootnoteReference"/>
          <w:sz w:val="20"/>
          <w:szCs w:val="20"/>
        </w:rPr>
        <w:footnoteRef/>
      </w:r>
      <w:r w:rsidRPr="001F3A37">
        <w:rPr>
          <w:sz w:val="20"/>
          <w:szCs w:val="20"/>
          <w:lang w:val="en-US"/>
        </w:rPr>
        <w:t xml:space="preserve"> D. </w:t>
      </w:r>
      <w:r w:rsidRPr="00250C20">
        <w:rPr>
          <w:sz w:val="20"/>
          <w:szCs w:val="20"/>
          <w:lang w:val="en-GB"/>
        </w:rPr>
        <w:t xml:space="preserve">Bloomfield, </w:t>
      </w:r>
      <w:r w:rsidRPr="00250C20">
        <w:rPr>
          <w:i/>
          <w:sz w:val="20"/>
          <w:szCs w:val="20"/>
          <w:lang w:val="en-GB"/>
        </w:rPr>
        <w:t>Reconciliation After Violent Conflict: A Handbook</w:t>
      </w:r>
      <w:r w:rsidRPr="00250C20">
        <w:rPr>
          <w:sz w:val="20"/>
          <w:szCs w:val="20"/>
          <w:lang w:val="en-GB"/>
        </w:rPr>
        <w:t>, International Idea</w:t>
      </w:r>
    </w:p>
    <w:p w14:paraId="6A1CA79D" w14:textId="77777777" w:rsidR="002D6BB0" w:rsidRDefault="002D6BB0">
      <w:pPr>
        <w:pStyle w:val="FootnoteText"/>
      </w:pPr>
      <w:proofErr w:type="gramStart"/>
      <w:r w:rsidRPr="00250C20">
        <w:rPr>
          <w:lang w:val="en-GB"/>
        </w:rPr>
        <w:t>2003: 12.</w:t>
      </w:r>
      <w:proofErr w:type="gramEnd"/>
      <w:r w:rsidRPr="00BB26B1">
        <w:rPr>
          <w:lang w:val="en-GB"/>
        </w:rPr>
        <w:t xml:space="preserve">  </w:t>
      </w:r>
    </w:p>
  </w:footnote>
  <w:footnote w:id="8">
    <w:p w14:paraId="685725A6" w14:textId="77777777" w:rsidR="002D6BB0" w:rsidRPr="000A0B9D" w:rsidRDefault="002D6BB0" w:rsidP="00250C20">
      <w:pPr>
        <w:rPr>
          <w:lang w:val="en-GB"/>
        </w:rPr>
      </w:pPr>
      <w:r w:rsidRPr="00BB26B1">
        <w:rPr>
          <w:rStyle w:val="FootnoteReference"/>
        </w:rPr>
        <w:footnoteRef/>
      </w:r>
      <w:r w:rsidRPr="001F3A37">
        <w:rPr>
          <w:lang w:val="en-US"/>
        </w:rPr>
        <w:t xml:space="preserve"> </w:t>
      </w:r>
      <w:r w:rsidRPr="001F3A37">
        <w:rPr>
          <w:sz w:val="20"/>
          <w:szCs w:val="20"/>
          <w:lang w:val="en-US"/>
        </w:rPr>
        <w:t xml:space="preserve">J.P. </w:t>
      </w:r>
      <w:proofErr w:type="spellStart"/>
      <w:r w:rsidRPr="00250C20">
        <w:rPr>
          <w:sz w:val="20"/>
          <w:szCs w:val="20"/>
          <w:lang w:val="en-GB"/>
        </w:rPr>
        <w:t>Lederach</w:t>
      </w:r>
      <w:proofErr w:type="spellEnd"/>
      <w:r w:rsidRPr="00250C20">
        <w:rPr>
          <w:sz w:val="20"/>
          <w:szCs w:val="20"/>
          <w:lang w:val="en-GB"/>
        </w:rPr>
        <w:t xml:space="preserve">, </w:t>
      </w:r>
      <w:r w:rsidRPr="00250C20">
        <w:rPr>
          <w:i/>
          <w:sz w:val="20"/>
          <w:szCs w:val="20"/>
          <w:lang w:val="en-GB"/>
        </w:rPr>
        <w:t xml:space="preserve">Building Peace, </w:t>
      </w:r>
      <w:proofErr w:type="gramStart"/>
      <w:r w:rsidRPr="00250C20">
        <w:rPr>
          <w:i/>
          <w:sz w:val="20"/>
          <w:szCs w:val="20"/>
          <w:lang w:val="en-GB"/>
        </w:rPr>
        <w:t>Sustainable</w:t>
      </w:r>
      <w:proofErr w:type="gramEnd"/>
      <w:r w:rsidRPr="00250C20">
        <w:rPr>
          <w:i/>
          <w:sz w:val="20"/>
          <w:szCs w:val="20"/>
          <w:lang w:val="en-GB"/>
        </w:rPr>
        <w:t xml:space="preserve"> Reconciliation in Divided Societies</w:t>
      </w:r>
      <w:r w:rsidRPr="00250C20">
        <w:rPr>
          <w:sz w:val="20"/>
          <w:szCs w:val="20"/>
          <w:lang w:val="en-GB"/>
        </w:rPr>
        <w:t>, Washington D.C.: United States Institute of Peace Press.</w:t>
      </w:r>
    </w:p>
    <w:p w14:paraId="724C358E" w14:textId="77777777" w:rsidR="002D6BB0" w:rsidRDefault="002D6BB0" w:rsidP="00250C20"/>
  </w:footnote>
  <w:footnote w:id="9">
    <w:p w14:paraId="70AF8A22" w14:textId="77777777" w:rsidR="002D6BB0" w:rsidRDefault="002D6BB0" w:rsidP="001B5146">
      <w:pPr>
        <w:pStyle w:val="NT-Footnote"/>
        <w:jc w:val="both"/>
      </w:pPr>
      <w:r w:rsidRPr="00BB26B1">
        <w:rPr>
          <w:rStyle w:val="FootnoteReference"/>
          <w:rFonts w:cs="TimesPP"/>
          <w:sz w:val="20"/>
          <w:szCs w:val="20"/>
        </w:rPr>
        <w:footnoteRef/>
      </w:r>
      <w:r w:rsidRPr="00BB26B1">
        <w:rPr>
          <w:sz w:val="20"/>
          <w:szCs w:val="20"/>
        </w:rPr>
        <w:t xml:space="preserve"> United Nations Security Council, </w:t>
      </w:r>
      <w:r w:rsidRPr="00BB26B1">
        <w:rPr>
          <w:i/>
          <w:iCs/>
          <w:sz w:val="20"/>
          <w:szCs w:val="20"/>
        </w:rPr>
        <w:t>The Rule of Law and Transitional Justice in Conflict and Post-Conflict Societies: Report of Secretary General</w:t>
      </w:r>
      <w:r w:rsidRPr="00BB26B1">
        <w:rPr>
          <w:sz w:val="20"/>
          <w:szCs w:val="20"/>
        </w:rPr>
        <w:t>, S/2004/616, 23 August 2004, 4.</w:t>
      </w:r>
    </w:p>
  </w:footnote>
  <w:footnote w:id="10">
    <w:p w14:paraId="19533CCE" w14:textId="77777777" w:rsidR="002D6BB0" w:rsidRDefault="002D6BB0">
      <w:pPr>
        <w:pStyle w:val="FootnoteText"/>
      </w:pPr>
      <w:r w:rsidRPr="00533D87">
        <w:rPr>
          <w:rStyle w:val="FootnoteReference"/>
        </w:rPr>
        <w:footnoteRef/>
      </w:r>
      <w:r w:rsidRPr="001F3A37">
        <w:rPr>
          <w:lang w:val="en-US"/>
        </w:rPr>
        <w:t xml:space="preserve"> </w:t>
      </w:r>
      <w:r w:rsidRPr="00533D87">
        <w:rPr>
          <w:lang w:val="en-GB"/>
        </w:rPr>
        <w:t xml:space="preserve"> </w:t>
      </w:r>
      <w:proofErr w:type="spellStart"/>
      <w:r w:rsidRPr="00533D87">
        <w:rPr>
          <w:lang w:val="en-GB"/>
        </w:rPr>
        <w:t>Lederach</w:t>
      </w:r>
      <w:proofErr w:type="spellEnd"/>
      <w:r w:rsidRPr="00533D87">
        <w:rPr>
          <w:lang w:val="en-GB"/>
        </w:rPr>
        <w:t xml:space="preserve">, 1997: 28.  </w:t>
      </w:r>
    </w:p>
  </w:footnote>
  <w:footnote w:id="11">
    <w:p w14:paraId="29506774" w14:textId="77777777" w:rsidR="002D6BB0" w:rsidRDefault="002D6BB0" w:rsidP="00533D87">
      <w:r w:rsidRPr="00533D87">
        <w:rPr>
          <w:rStyle w:val="FootnoteReference"/>
          <w:sz w:val="20"/>
          <w:szCs w:val="20"/>
        </w:rPr>
        <w:footnoteRef/>
      </w:r>
      <w:r w:rsidRPr="001F3A37">
        <w:rPr>
          <w:sz w:val="20"/>
          <w:szCs w:val="20"/>
          <w:lang w:val="en-US"/>
        </w:rPr>
        <w:t xml:space="preserve"> </w:t>
      </w:r>
      <w:r w:rsidRPr="00533D87">
        <w:rPr>
          <w:sz w:val="20"/>
          <w:szCs w:val="20"/>
          <w:lang w:val="en-GB"/>
        </w:rPr>
        <w:t xml:space="preserve"> D. Bar-Tal &amp; G. </w:t>
      </w:r>
      <w:proofErr w:type="spellStart"/>
      <w:r w:rsidRPr="00533D87">
        <w:rPr>
          <w:sz w:val="20"/>
          <w:szCs w:val="20"/>
          <w:lang w:val="en-GB"/>
        </w:rPr>
        <w:t>Bennink</w:t>
      </w:r>
      <w:proofErr w:type="spellEnd"/>
      <w:r w:rsidRPr="00533D87">
        <w:rPr>
          <w:sz w:val="20"/>
          <w:szCs w:val="20"/>
          <w:lang w:val="en-GB"/>
        </w:rPr>
        <w:t xml:space="preserve">  ‘The Nature of Reconciliation as an outcome and as a Process’, in </w:t>
      </w:r>
      <w:r w:rsidRPr="00533D87">
        <w:rPr>
          <w:i/>
          <w:sz w:val="20"/>
          <w:szCs w:val="20"/>
          <w:lang w:val="en-GB"/>
        </w:rPr>
        <w:t>From Conflict Resolution to Reconciliation</w:t>
      </w:r>
      <w:r w:rsidRPr="00533D87">
        <w:rPr>
          <w:sz w:val="20"/>
          <w:szCs w:val="20"/>
          <w:lang w:val="en-GB"/>
        </w:rPr>
        <w:t>, Bar-</w:t>
      </w:r>
      <w:proofErr w:type="spellStart"/>
      <w:r w:rsidRPr="00533D87">
        <w:rPr>
          <w:sz w:val="20"/>
          <w:szCs w:val="20"/>
          <w:lang w:val="en-GB"/>
        </w:rPr>
        <w:t>Siman</w:t>
      </w:r>
      <w:proofErr w:type="spellEnd"/>
      <w:r w:rsidRPr="00533D87">
        <w:rPr>
          <w:sz w:val="20"/>
          <w:szCs w:val="20"/>
          <w:lang w:val="en-GB"/>
        </w:rPr>
        <w:t xml:space="preserve">-Tov, </w:t>
      </w:r>
      <w:proofErr w:type="spellStart"/>
      <w:r w:rsidRPr="00533D87">
        <w:rPr>
          <w:sz w:val="20"/>
          <w:szCs w:val="20"/>
          <w:lang w:val="en-GB"/>
        </w:rPr>
        <w:t>Yaacov</w:t>
      </w:r>
      <w:proofErr w:type="spellEnd"/>
      <w:r w:rsidRPr="00533D87">
        <w:rPr>
          <w:sz w:val="20"/>
          <w:szCs w:val="20"/>
          <w:lang w:val="en-GB"/>
        </w:rPr>
        <w:t xml:space="preserve">, Oxford: Oxford University Press, 2004: 23.  L. </w:t>
      </w:r>
      <w:proofErr w:type="spellStart"/>
      <w:r w:rsidRPr="00533D87">
        <w:rPr>
          <w:sz w:val="20"/>
          <w:szCs w:val="20"/>
          <w:lang w:val="en-GB"/>
        </w:rPr>
        <w:t>Kriesberg</w:t>
      </w:r>
      <w:proofErr w:type="spellEnd"/>
      <w:r w:rsidRPr="00533D87">
        <w:rPr>
          <w:sz w:val="20"/>
          <w:szCs w:val="20"/>
          <w:lang w:val="en-GB"/>
        </w:rPr>
        <w:t xml:space="preserve">, ‘Comparing Reconciliation Actions within and between Countries’ in </w:t>
      </w:r>
      <w:r w:rsidRPr="00533D87">
        <w:rPr>
          <w:i/>
          <w:sz w:val="20"/>
          <w:szCs w:val="20"/>
          <w:lang w:val="en-GB"/>
        </w:rPr>
        <w:t>From Conflict Resolution to Reconciliation</w:t>
      </w:r>
      <w:r w:rsidRPr="00533D87">
        <w:rPr>
          <w:sz w:val="20"/>
          <w:szCs w:val="20"/>
          <w:lang w:val="en-GB"/>
        </w:rPr>
        <w:t>, Bar-</w:t>
      </w:r>
      <w:proofErr w:type="spellStart"/>
      <w:r w:rsidRPr="00533D87">
        <w:rPr>
          <w:sz w:val="20"/>
          <w:szCs w:val="20"/>
          <w:lang w:val="en-GB"/>
        </w:rPr>
        <w:t>Siman</w:t>
      </w:r>
      <w:proofErr w:type="spellEnd"/>
      <w:r w:rsidRPr="00533D87">
        <w:rPr>
          <w:sz w:val="20"/>
          <w:szCs w:val="20"/>
          <w:lang w:val="en-GB"/>
        </w:rPr>
        <w:t xml:space="preserve">-Tov, </w:t>
      </w:r>
      <w:proofErr w:type="spellStart"/>
      <w:r w:rsidRPr="00533D87">
        <w:rPr>
          <w:sz w:val="20"/>
          <w:szCs w:val="20"/>
          <w:lang w:val="en-GB"/>
        </w:rPr>
        <w:t>Yaacov</w:t>
      </w:r>
      <w:proofErr w:type="spellEnd"/>
      <w:r w:rsidRPr="00533D87">
        <w:rPr>
          <w:sz w:val="20"/>
          <w:szCs w:val="20"/>
          <w:lang w:val="en-GB"/>
        </w:rPr>
        <w:t xml:space="preserve">, </w:t>
      </w:r>
      <w:proofErr w:type="gramStart"/>
      <w:r w:rsidRPr="00533D87">
        <w:rPr>
          <w:sz w:val="20"/>
          <w:szCs w:val="20"/>
          <w:lang w:val="en-GB"/>
        </w:rPr>
        <w:t>Oxford</w:t>
      </w:r>
      <w:proofErr w:type="gramEnd"/>
      <w:r w:rsidRPr="00533D87">
        <w:rPr>
          <w:sz w:val="20"/>
          <w:szCs w:val="20"/>
          <w:lang w:val="en-GB"/>
        </w:rPr>
        <w:t>: Oxford University Press, 2004: 85.</w:t>
      </w:r>
    </w:p>
  </w:footnote>
  <w:footnote w:id="12">
    <w:p w14:paraId="0C9DA4F6" w14:textId="77777777" w:rsidR="002D6BB0" w:rsidRDefault="002D6BB0" w:rsidP="00250C20">
      <w:pPr>
        <w:spacing w:line="360" w:lineRule="auto"/>
        <w:jc w:val="both"/>
      </w:pPr>
      <w:r w:rsidRPr="00BB26B1">
        <w:rPr>
          <w:rStyle w:val="FootnoteReference"/>
          <w:sz w:val="20"/>
          <w:szCs w:val="20"/>
        </w:rPr>
        <w:footnoteRef/>
      </w:r>
      <w:r w:rsidRPr="001F3A37">
        <w:rPr>
          <w:sz w:val="20"/>
          <w:szCs w:val="20"/>
          <w:lang w:val="en-US"/>
        </w:rPr>
        <w:t xml:space="preserve"> </w:t>
      </w:r>
      <w:proofErr w:type="gramStart"/>
      <w:r>
        <w:rPr>
          <w:sz w:val="20"/>
          <w:szCs w:val="20"/>
          <w:lang w:val="en-GB"/>
        </w:rPr>
        <w:t xml:space="preserve">Bar-Tal and </w:t>
      </w:r>
      <w:proofErr w:type="spellStart"/>
      <w:r>
        <w:rPr>
          <w:sz w:val="20"/>
          <w:szCs w:val="20"/>
          <w:lang w:val="en-GB"/>
        </w:rPr>
        <w:t>Bennink</w:t>
      </w:r>
      <w:proofErr w:type="spellEnd"/>
      <w:r>
        <w:rPr>
          <w:sz w:val="20"/>
          <w:szCs w:val="20"/>
          <w:lang w:val="en-GB"/>
        </w:rPr>
        <w:t>, 2004, 26.</w:t>
      </w:r>
      <w:proofErr w:type="gramEnd"/>
      <w:r>
        <w:rPr>
          <w:sz w:val="20"/>
          <w:szCs w:val="20"/>
          <w:lang w:val="en-GB"/>
        </w:rPr>
        <w:t xml:space="preserve"> </w:t>
      </w:r>
      <w:proofErr w:type="gramStart"/>
      <w:r>
        <w:rPr>
          <w:sz w:val="20"/>
          <w:szCs w:val="20"/>
          <w:lang w:val="en-GB"/>
        </w:rPr>
        <w:t>Rothstein, 1999,</w:t>
      </w:r>
      <w:r w:rsidRPr="00BB26B1">
        <w:rPr>
          <w:sz w:val="20"/>
          <w:szCs w:val="20"/>
          <w:lang w:val="en-GB"/>
        </w:rPr>
        <w:t xml:space="preserve"> 12.</w:t>
      </w:r>
      <w:proofErr w:type="gramEnd"/>
      <w:r w:rsidRPr="00BB26B1">
        <w:rPr>
          <w:sz w:val="20"/>
          <w:szCs w:val="20"/>
          <w:lang w:val="en-GB"/>
        </w:rPr>
        <w:t xml:space="preserve">  </w:t>
      </w:r>
    </w:p>
  </w:footnote>
  <w:footnote w:id="13">
    <w:p w14:paraId="16CE205A" w14:textId="77777777" w:rsidR="002D6BB0" w:rsidRDefault="002D6BB0">
      <w:pPr>
        <w:pStyle w:val="FootnoteText"/>
      </w:pPr>
      <w:r w:rsidRPr="00BB26B1">
        <w:rPr>
          <w:rStyle w:val="FootnoteReference"/>
        </w:rPr>
        <w:footnoteRef/>
      </w:r>
      <w:r w:rsidRPr="001F3A37">
        <w:rPr>
          <w:lang w:val="en-US"/>
        </w:rPr>
        <w:t xml:space="preserve"> </w:t>
      </w:r>
      <w:proofErr w:type="spellStart"/>
      <w:proofErr w:type="gramStart"/>
      <w:r w:rsidRPr="00BB26B1">
        <w:rPr>
          <w:lang w:val="en-GB"/>
        </w:rPr>
        <w:t>Kriesberg</w:t>
      </w:r>
      <w:proofErr w:type="spellEnd"/>
      <w:r w:rsidRPr="00BB26B1">
        <w:rPr>
          <w:lang w:val="en-GB"/>
        </w:rPr>
        <w:t>, 2004</w:t>
      </w:r>
      <w:r>
        <w:rPr>
          <w:lang w:val="en-GB"/>
        </w:rPr>
        <w:t>, 82-83.</w:t>
      </w:r>
      <w:proofErr w:type="gramEnd"/>
    </w:p>
  </w:footnote>
  <w:footnote w:id="14">
    <w:p w14:paraId="7CBBCBE6" w14:textId="77777777" w:rsidR="002D6BB0" w:rsidRDefault="002D6BB0">
      <w:pPr>
        <w:pStyle w:val="FootnoteText"/>
      </w:pPr>
      <w:r w:rsidRPr="00BB26B1">
        <w:rPr>
          <w:rStyle w:val="FootnoteReference"/>
        </w:rPr>
        <w:footnoteRef/>
      </w:r>
      <w:r w:rsidRPr="001F3A37">
        <w:rPr>
          <w:lang w:val="en-US"/>
        </w:rPr>
        <w:t xml:space="preserve"> </w:t>
      </w:r>
      <w:proofErr w:type="spellStart"/>
      <w:proofErr w:type="gramStart"/>
      <w:r>
        <w:rPr>
          <w:lang w:val="en-GB"/>
        </w:rPr>
        <w:t>Lederach</w:t>
      </w:r>
      <w:proofErr w:type="spellEnd"/>
      <w:r>
        <w:rPr>
          <w:lang w:val="en-GB"/>
        </w:rPr>
        <w:t>, 1997, 28.</w:t>
      </w:r>
      <w:proofErr w:type="gramEnd"/>
      <w:r w:rsidRPr="00BB26B1">
        <w:rPr>
          <w:lang w:val="en-GB"/>
        </w:rPr>
        <w:t xml:space="preserve">  </w:t>
      </w:r>
    </w:p>
  </w:footnote>
  <w:footnote w:id="15">
    <w:p w14:paraId="4B8A2107" w14:textId="77777777" w:rsidR="002D6BB0" w:rsidRDefault="002D6BB0">
      <w:pPr>
        <w:pStyle w:val="FootnoteText"/>
      </w:pPr>
      <w:r w:rsidRPr="00BE27C3">
        <w:rPr>
          <w:rStyle w:val="FootnoteReference"/>
        </w:rPr>
        <w:footnoteRef/>
      </w:r>
      <w:r w:rsidRPr="001F3A37">
        <w:rPr>
          <w:lang w:val="en-US"/>
        </w:rPr>
        <w:t xml:space="preserve"> </w:t>
      </w:r>
      <w:r w:rsidRPr="00BE27C3">
        <w:rPr>
          <w:rFonts w:eastAsia="MS ??"/>
          <w:lang w:val="en-US"/>
        </w:rPr>
        <w:t>Geoffrey Nice, ‘</w:t>
      </w:r>
      <w:proofErr w:type="spellStart"/>
      <w:r w:rsidRPr="00BE27C3">
        <w:rPr>
          <w:rFonts w:eastAsia="MS ??"/>
          <w:lang w:val="en-US"/>
        </w:rPr>
        <w:t>Zlo</w:t>
      </w:r>
      <w:proofErr w:type="spellEnd"/>
      <w:r w:rsidRPr="00BE27C3">
        <w:rPr>
          <w:rFonts w:eastAsia="MS ??"/>
          <w:lang w:val="hr-HR"/>
        </w:rPr>
        <w:t>čin i kazna</w:t>
      </w:r>
      <w:r w:rsidRPr="00BE27C3">
        <w:rPr>
          <w:rFonts w:eastAsia="MS ??"/>
          <w:lang w:val="en-US"/>
        </w:rPr>
        <w:t>:</w:t>
      </w:r>
      <w:r w:rsidRPr="00BE27C3">
        <w:rPr>
          <w:rFonts w:eastAsia="MS ??"/>
          <w:lang w:val="hr-HR"/>
        </w:rPr>
        <w:t xml:space="preserve"> zašto je haška osuđenica za ratne zločine prerano oslobođena'</w:t>
      </w:r>
      <w:proofErr w:type="gramStart"/>
      <w:r w:rsidRPr="00BE27C3">
        <w:rPr>
          <w:rFonts w:eastAsia="MS ??"/>
          <w:lang w:val="hr-HR"/>
        </w:rPr>
        <w:t>,  DANI</w:t>
      </w:r>
      <w:proofErr w:type="gramEnd"/>
      <w:r w:rsidRPr="00BE27C3">
        <w:rPr>
          <w:rFonts w:eastAsia="MS ??"/>
          <w:lang w:val="hr-HR"/>
        </w:rPr>
        <w:t>, 20 November 2009.</w:t>
      </w:r>
    </w:p>
  </w:footnote>
  <w:footnote w:id="16">
    <w:p w14:paraId="0D21E7BB" w14:textId="77777777" w:rsidR="002D6BB0" w:rsidRDefault="002D6BB0">
      <w:pPr>
        <w:pStyle w:val="FootnoteText"/>
      </w:pPr>
      <w:r w:rsidRPr="00BE27C3">
        <w:rPr>
          <w:rStyle w:val="FootnoteReference"/>
        </w:rPr>
        <w:footnoteRef/>
      </w:r>
      <w:r w:rsidRPr="001F3A37">
        <w:rPr>
          <w:lang w:val="en-US"/>
        </w:rPr>
        <w:t xml:space="preserve"> </w:t>
      </w:r>
      <w:proofErr w:type="spellStart"/>
      <w:proofErr w:type="gramStart"/>
      <w:r w:rsidRPr="00BE27C3">
        <w:rPr>
          <w:lang w:val="en-GB"/>
        </w:rPr>
        <w:t>Kriesberg</w:t>
      </w:r>
      <w:proofErr w:type="spellEnd"/>
      <w:r w:rsidRPr="00BE27C3">
        <w:rPr>
          <w:lang w:val="en-GB"/>
        </w:rPr>
        <w:t>, 2004,83-84.</w:t>
      </w:r>
      <w:proofErr w:type="gramEnd"/>
    </w:p>
  </w:footnote>
  <w:footnote w:id="17">
    <w:p w14:paraId="68C3B0C5" w14:textId="77777777" w:rsidR="002D6BB0" w:rsidRDefault="002D6BB0">
      <w:pPr>
        <w:pStyle w:val="FootnoteText"/>
      </w:pPr>
      <w:r w:rsidRPr="00BB26B1">
        <w:rPr>
          <w:rStyle w:val="FootnoteReference"/>
        </w:rPr>
        <w:footnoteRef/>
      </w:r>
      <w:r w:rsidRPr="001F3A37">
        <w:rPr>
          <w:lang w:val="en-US"/>
        </w:rPr>
        <w:t xml:space="preserve"> </w:t>
      </w:r>
      <w:proofErr w:type="gramStart"/>
      <w:r w:rsidRPr="00BB26B1">
        <w:rPr>
          <w:lang w:val="en-GB"/>
        </w:rPr>
        <w:t>Bloomfield, 2003</w:t>
      </w:r>
      <w:r>
        <w:rPr>
          <w:lang w:val="en-GB"/>
        </w:rPr>
        <w:t>,</w:t>
      </w:r>
      <w:r w:rsidRPr="00BB26B1">
        <w:rPr>
          <w:lang w:val="en-GB"/>
        </w:rPr>
        <w:t>97</w:t>
      </w:r>
      <w:r>
        <w:rPr>
          <w:lang w:val="en-GB"/>
        </w:rPr>
        <w:t>.</w:t>
      </w:r>
      <w:proofErr w:type="gramEnd"/>
    </w:p>
  </w:footnote>
  <w:footnote w:id="18">
    <w:p w14:paraId="36616C7A" w14:textId="77777777" w:rsidR="002D6BB0" w:rsidRDefault="002D6BB0" w:rsidP="00155CA0">
      <w:pPr>
        <w:pStyle w:val="FootnoteText"/>
      </w:pPr>
      <w:r w:rsidRPr="00BB26B1">
        <w:rPr>
          <w:rStyle w:val="FootnoteReference"/>
        </w:rPr>
        <w:footnoteRef/>
      </w:r>
      <w:r w:rsidRPr="001F3A37">
        <w:rPr>
          <w:lang w:val="en-US"/>
        </w:rPr>
        <w:t xml:space="preserve"> </w:t>
      </w:r>
      <w:r w:rsidRPr="00BB26B1">
        <w:rPr>
          <w:lang w:val="en-US"/>
        </w:rPr>
        <w:t xml:space="preserve">Lawrence </w:t>
      </w:r>
      <w:proofErr w:type="spellStart"/>
      <w:r w:rsidRPr="00BB26B1">
        <w:rPr>
          <w:lang w:val="en-US"/>
        </w:rPr>
        <w:t>Kershen</w:t>
      </w:r>
      <w:proofErr w:type="spellEnd"/>
      <w:r w:rsidRPr="00BB26B1">
        <w:rPr>
          <w:lang w:val="en-US"/>
        </w:rPr>
        <w:t xml:space="preserve">, QC states that those elements should be starting point of justice.  Quoted in Sir Geoffrey </w:t>
      </w:r>
      <w:proofErr w:type="spellStart"/>
      <w:r w:rsidRPr="00BB26B1">
        <w:rPr>
          <w:lang w:val="en-US"/>
        </w:rPr>
        <w:t>Nice’s</w:t>
      </w:r>
      <w:proofErr w:type="spellEnd"/>
      <w:r w:rsidRPr="00BB26B1">
        <w:rPr>
          <w:lang w:val="en-US"/>
        </w:rPr>
        <w:t xml:space="preserve"> Lecture, ‘</w:t>
      </w:r>
      <w:r w:rsidRPr="00BB26B1">
        <w:rPr>
          <w:color w:val="161616"/>
          <w:lang w:val="en-US"/>
        </w:rPr>
        <w:t xml:space="preserve">War Crimes Courts that Reconcile: Oxymoron or Possibility?’, 18 April 2013, Gresham College, London, </w:t>
      </w:r>
      <w:r w:rsidRPr="00BB26B1">
        <w:rPr>
          <w:lang w:val="en-US"/>
        </w:rPr>
        <w:t xml:space="preserve">Available at: </w:t>
      </w:r>
      <w:r w:rsidRPr="00BB26B1">
        <w:rPr>
          <w:color w:val="171717"/>
          <w:lang w:val="en-US"/>
        </w:rPr>
        <w:t>http://www.gresham.ac.uk/lectures-and-events/war-crimes-courts-that-reconcile-oxymoron-or-possibility</w:t>
      </w:r>
    </w:p>
  </w:footnote>
  <w:footnote w:id="19">
    <w:p w14:paraId="528B6846" w14:textId="77777777" w:rsidR="002D6BB0" w:rsidRPr="00BB26B1" w:rsidRDefault="002D6BB0" w:rsidP="00C43744">
      <w:pPr>
        <w:pStyle w:val="FootnoteText"/>
        <w:jc w:val="both"/>
        <w:rPr>
          <w:lang w:val="en-US"/>
        </w:rPr>
      </w:pPr>
      <w:r w:rsidRPr="00BB26B1">
        <w:rPr>
          <w:rStyle w:val="FootnoteReference"/>
        </w:rPr>
        <w:footnoteRef/>
      </w:r>
      <w:r w:rsidRPr="001F3A37">
        <w:rPr>
          <w:lang w:val="en-US"/>
        </w:rPr>
        <w:t xml:space="preserve"> See </w:t>
      </w:r>
      <w:proofErr w:type="spellStart"/>
      <w:r w:rsidRPr="001F3A37">
        <w:rPr>
          <w:lang w:val="en-US"/>
        </w:rPr>
        <w:t>ICTY</w:t>
      </w:r>
      <w:proofErr w:type="spellEnd"/>
      <w:r w:rsidRPr="001F3A37">
        <w:rPr>
          <w:lang w:val="en-US"/>
        </w:rPr>
        <w:t xml:space="preserve"> Indictments: </w:t>
      </w:r>
      <w:r w:rsidRPr="001F3A37">
        <w:rPr>
          <w:i/>
          <w:lang w:val="en-US"/>
        </w:rPr>
        <w:t xml:space="preserve">Prosecutor v. Radovan </w:t>
      </w:r>
      <w:proofErr w:type="spellStart"/>
      <w:r w:rsidRPr="001F3A37">
        <w:rPr>
          <w:i/>
          <w:lang w:val="en-US"/>
        </w:rPr>
        <w:t>Karadžić</w:t>
      </w:r>
      <w:proofErr w:type="spellEnd"/>
      <w:r w:rsidRPr="001F3A37">
        <w:rPr>
          <w:lang w:val="en-US"/>
        </w:rPr>
        <w:t xml:space="preserve"> </w:t>
      </w:r>
      <w:r w:rsidRPr="00BB26B1">
        <w:rPr>
          <w:lang w:val="en-US"/>
        </w:rPr>
        <w:t>(Case No. IT-95-5/18-PT), 19 October 2009.</w:t>
      </w:r>
      <w:r w:rsidRPr="001F3A37">
        <w:rPr>
          <w:lang w:val="en-US"/>
        </w:rPr>
        <w:t xml:space="preserve"> Fourth Amended Indictment </w:t>
      </w:r>
      <w:r w:rsidRPr="001F3A37">
        <w:rPr>
          <w:i/>
          <w:lang w:val="en-US"/>
        </w:rPr>
        <w:t xml:space="preserve">Prosecutor v. </w:t>
      </w:r>
      <w:proofErr w:type="spellStart"/>
      <w:r w:rsidRPr="001F3A37">
        <w:rPr>
          <w:i/>
          <w:lang w:val="en-US"/>
        </w:rPr>
        <w:t>Ratko</w:t>
      </w:r>
      <w:proofErr w:type="spellEnd"/>
      <w:r w:rsidRPr="001F3A37">
        <w:rPr>
          <w:i/>
          <w:lang w:val="en-US"/>
        </w:rPr>
        <w:t xml:space="preserve"> </w:t>
      </w:r>
      <w:proofErr w:type="spellStart"/>
      <w:r w:rsidRPr="001F3A37">
        <w:rPr>
          <w:i/>
          <w:lang w:val="en-US"/>
        </w:rPr>
        <w:t>Mladić</w:t>
      </w:r>
      <w:proofErr w:type="spellEnd"/>
      <w:r w:rsidRPr="001F3A37">
        <w:rPr>
          <w:lang w:val="en-US"/>
        </w:rPr>
        <w:t xml:space="preserve"> </w:t>
      </w:r>
      <w:r w:rsidRPr="00BB26B1">
        <w:rPr>
          <w:lang w:val="en-US"/>
        </w:rPr>
        <w:t xml:space="preserve">(Case No. </w:t>
      </w:r>
      <w:proofErr w:type="gramStart"/>
      <w:r w:rsidRPr="00BB26B1">
        <w:rPr>
          <w:lang w:val="en-US"/>
        </w:rPr>
        <w:t>IT-09-92-PT), 1 December 201.</w:t>
      </w:r>
      <w:proofErr w:type="gramEnd"/>
    </w:p>
    <w:p w14:paraId="492C2B1B" w14:textId="77777777" w:rsidR="002D6BB0" w:rsidRPr="00BB26B1" w:rsidRDefault="002D6BB0" w:rsidP="00C43744">
      <w:pPr>
        <w:pStyle w:val="FootnoteText"/>
        <w:jc w:val="both"/>
        <w:rPr>
          <w:lang w:val="en-US"/>
        </w:rPr>
      </w:pPr>
      <w:r w:rsidRPr="00BB26B1">
        <w:rPr>
          <w:lang w:val="en-US"/>
        </w:rPr>
        <w:t>Available online:</w:t>
      </w:r>
      <w:r w:rsidRPr="001F3A37">
        <w:rPr>
          <w:lang w:val="en-US"/>
        </w:rPr>
        <w:t xml:space="preserve"> </w:t>
      </w:r>
      <w:hyperlink r:id="rId1" w:history="1">
        <w:r w:rsidRPr="00BB26B1">
          <w:rPr>
            <w:rStyle w:val="Hyperlink"/>
            <w:lang w:val="en-US"/>
          </w:rPr>
          <w:t>http://www.icty.org/x/cases/karadzic/ind/en/markedup_indictment_091019.pdf</w:t>
        </w:r>
      </w:hyperlink>
    </w:p>
    <w:p w14:paraId="3E7E974E" w14:textId="77777777" w:rsidR="002D6BB0" w:rsidRDefault="002D6BB0" w:rsidP="00C43744">
      <w:pPr>
        <w:pStyle w:val="FootnoteText"/>
        <w:jc w:val="both"/>
      </w:pPr>
      <w:proofErr w:type="gramStart"/>
      <w:r w:rsidRPr="00BB26B1">
        <w:rPr>
          <w:lang w:val="en-US"/>
        </w:rPr>
        <w:t>and</w:t>
      </w:r>
      <w:proofErr w:type="gramEnd"/>
      <w:r w:rsidRPr="00BB26B1">
        <w:rPr>
          <w:lang w:val="en-US"/>
        </w:rPr>
        <w:t xml:space="preserve"> http://</w:t>
      </w:r>
      <w:proofErr w:type="spellStart"/>
      <w:r w:rsidRPr="00BB26B1">
        <w:rPr>
          <w:lang w:val="en-US"/>
        </w:rPr>
        <w:t>www.icty.org</w:t>
      </w:r>
      <w:proofErr w:type="spellEnd"/>
      <w:r w:rsidRPr="00BB26B1">
        <w:rPr>
          <w:lang w:val="en-US"/>
        </w:rPr>
        <w:t>/x/cases/</w:t>
      </w:r>
      <w:proofErr w:type="spellStart"/>
      <w:r w:rsidRPr="00BB26B1">
        <w:rPr>
          <w:lang w:val="en-US"/>
        </w:rPr>
        <w:t>mladic</w:t>
      </w:r>
      <w:proofErr w:type="spellEnd"/>
      <w:r w:rsidRPr="00BB26B1">
        <w:rPr>
          <w:lang w:val="en-US"/>
        </w:rPr>
        <w:t>/</w:t>
      </w:r>
      <w:proofErr w:type="spellStart"/>
      <w:r w:rsidRPr="00BB26B1">
        <w:rPr>
          <w:lang w:val="en-US"/>
        </w:rPr>
        <w:t>ind</w:t>
      </w:r>
      <w:proofErr w:type="spellEnd"/>
      <w:r w:rsidRPr="00BB26B1">
        <w:rPr>
          <w:lang w:val="en-US"/>
        </w:rPr>
        <w:t>/en/</w:t>
      </w:r>
      <w:proofErr w:type="spellStart"/>
      <w:r w:rsidRPr="00BB26B1">
        <w:rPr>
          <w:lang w:val="en-US"/>
        </w:rPr>
        <w:t>111216.pdf</w:t>
      </w:r>
      <w:proofErr w:type="spellEnd"/>
    </w:p>
  </w:footnote>
  <w:footnote w:id="20">
    <w:p w14:paraId="197F65C7" w14:textId="77777777" w:rsidR="002D6BB0" w:rsidRPr="00BB26B1" w:rsidRDefault="002D6BB0" w:rsidP="00C43744">
      <w:pPr>
        <w:pStyle w:val="FootnoteText"/>
        <w:jc w:val="both"/>
        <w:rPr>
          <w:lang w:val="hr-HR"/>
        </w:rPr>
      </w:pPr>
      <w:r w:rsidRPr="00BB26B1">
        <w:rPr>
          <w:rStyle w:val="FootnoteReference"/>
        </w:rPr>
        <w:footnoteRef/>
      </w:r>
      <w:r w:rsidRPr="001F3A37">
        <w:rPr>
          <w:lang w:val="en-US"/>
        </w:rPr>
        <w:t xml:space="preserve"> See </w:t>
      </w:r>
      <w:proofErr w:type="spellStart"/>
      <w:r w:rsidRPr="001F3A37">
        <w:rPr>
          <w:lang w:val="en-US"/>
        </w:rPr>
        <w:t>ICTY</w:t>
      </w:r>
      <w:proofErr w:type="spellEnd"/>
      <w:r w:rsidRPr="001F3A37">
        <w:rPr>
          <w:lang w:val="en-US"/>
        </w:rPr>
        <w:t xml:space="preserve"> Indictments: </w:t>
      </w:r>
      <w:r w:rsidRPr="001F3A37">
        <w:rPr>
          <w:i/>
          <w:lang w:val="en-US"/>
        </w:rPr>
        <w:t xml:space="preserve">Prosecution v. </w:t>
      </w:r>
      <w:proofErr w:type="spellStart"/>
      <w:r w:rsidRPr="001F3A37">
        <w:rPr>
          <w:i/>
          <w:lang w:val="en-US"/>
        </w:rPr>
        <w:t>Radislav</w:t>
      </w:r>
      <w:proofErr w:type="spellEnd"/>
      <w:r w:rsidRPr="001F3A37">
        <w:rPr>
          <w:i/>
          <w:lang w:val="en-US"/>
        </w:rPr>
        <w:t xml:space="preserve"> </w:t>
      </w:r>
      <w:proofErr w:type="spellStart"/>
      <w:r w:rsidRPr="001F3A37">
        <w:rPr>
          <w:i/>
          <w:lang w:val="en-US"/>
        </w:rPr>
        <w:t>Krsti</w:t>
      </w:r>
      <w:proofErr w:type="spellEnd"/>
      <w:r w:rsidRPr="00BB26B1">
        <w:rPr>
          <w:i/>
          <w:lang w:val="hr-HR"/>
        </w:rPr>
        <w:t xml:space="preserve">ć </w:t>
      </w:r>
      <w:r w:rsidRPr="00BB26B1">
        <w:rPr>
          <w:lang w:val="hr-HR"/>
        </w:rPr>
        <w:t>(Case No. IT-98-33)</w:t>
      </w:r>
      <w:r w:rsidRPr="00BB26B1">
        <w:rPr>
          <w:i/>
          <w:lang w:val="hr-HR"/>
        </w:rPr>
        <w:t xml:space="preserve"> </w:t>
      </w:r>
      <w:r w:rsidRPr="00BB26B1">
        <w:rPr>
          <w:lang w:val="hr-HR"/>
        </w:rPr>
        <w:t xml:space="preserve">, </w:t>
      </w:r>
      <w:r w:rsidRPr="00BB26B1">
        <w:rPr>
          <w:i/>
          <w:lang w:val="hr-HR"/>
        </w:rPr>
        <w:t>Prosecution v. Popović et. al</w:t>
      </w:r>
      <w:r w:rsidRPr="00BB26B1">
        <w:rPr>
          <w:lang w:val="hr-HR"/>
        </w:rPr>
        <w:t xml:space="preserve">. (Case No. IT-05-88-T), </w:t>
      </w:r>
      <w:r w:rsidRPr="00BB26B1">
        <w:rPr>
          <w:i/>
          <w:lang w:val="hr-HR"/>
        </w:rPr>
        <w:t>Prosecutor v. Zdravko Tolimir (Case No.</w:t>
      </w:r>
      <w:r w:rsidRPr="00BB26B1">
        <w:rPr>
          <w:lang w:val="hr-HR"/>
        </w:rPr>
        <w:t xml:space="preserve"> IT-05-88/2-PT).</w:t>
      </w:r>
    </w:p>
    <w:p w14:paraId="47703FFC" w14:textId="77777777" w:rsidR="002D6BB0" w:rsidRPr="00BB26B1" w:rsidRDefault="002D6BB0" w:rsidP="00C43744">
      <w:pPr>
        <w:pStyle w:val="FootnoteText"/>
        <w:jc w:val="both"/>
        <w:rPr>
          <w:lang w:val="hr-HR"/>
        </w:rPr>
      </w:pPr>
      <w:r w:rsidRPr="00BB26B1">
        <w:rPr>
          <w:lang w:val="hr-HR"/>
        </w:rPr>
        <w:t>Available online: http://www.icty.org/x/cases/krstic/ind/en/krs-1ai991027e.pdf</w:t>
      </w:r>
    </w:p>
    <w:p w14:paraId="38538555" w14:textId="77777777" w:rsidR="002D6BB0" w:rsidRPr="00BB26B1" w:rsidRDefault="002D6BB0" w:rsidP="00C43744">
      <w:pPr>
        <w:pStyle w:val="FootnoteText"/>
        <w:jc w:val="both"/>
        <w:rPr>
          <w:lang w:val="hr-HR"/>
        </w:rPr>
      </w:pPr>
      <w:hyperlink r:id="rId2" w:history="1">
        <w:r w:rsidRPr="00BB26B1">
          <w:rPr>
            <w:rStyle w:val="Hyperlink"/>
            <w:lang w:val="hr-HR"/>
          </w:rPr>
          <w:t>http://www.icty.org/x/cases/popovic/ind/en/popovic-060804.pdf</w:t>
        </w:r>
      </w:hyperlink>
    </w:p>
    <w:p w14:paraId="772EDF19" w14:textId="77777777" w:rsidR="002D6BB0" w:rsidRDefault="002D6BB0" w:rsidP="00C43744">
      <w:pPr>
        <w:pStyle w:val="FootnoteText"/>
        <w:jc w:val="both"/>
      </w:pPr>
      <w:r w:rsidRPr="00BB26B1">
        <w:rPr>
          <w:lang w:val="hr-HR"/>
        </w:rPr>
        <w:t>http://www.icty.org/x/cases/tolimir/ind/en/091104.pdf</w:t>
      </w:r>
    </w:p>
  </w:footnote>
  <w:footnote w:id="21">
    <w:p w14:paraId="5C31BE63" w14:textId="77777777" w:rsidR="002D6BB0" w:rsidRPr="001F3A37" w:rsidRDefault="002D6BB0" w:rsidP="00C43744">
      <w:pPr>
        <w:pStyle w:val="FootnoteText"/>
        <w:jc w:val="both"/>
        <w:rPr>
          <w:lang w:val="en-US"/>
        </w:rPr>
      </w:pPr>
      <w:r w:rsidRPr="00BB26B1">
        <w:rPr>
          <w:rStyle w:val="FootnoteReference"/>
        </w:rPr>
        <w:footnoteRef/>
      </w:r>
      <w:r w:rsidRPr="001F3A37">
        <w:rPr>
          <w:lang w:val="en-US"/>
        </w:rPr>
        <w:t xml:space="preserve"> See </w:t>
      </w:r>
      <w:proofErr w:type="spellStart"/>
      <w:r w:rsidRPr="001F3A37">
        <w:rPr>
          <w:lang w:val="en-US"/>
        </w:rPr>
        <w:t>ICTY</w:t>
      </w:r>
      <w:proofErr w:type="spellEnd"/>
      <w:r w:rsidRPr="001F3A37">
        <w:rPr>
          <w:lang w:val="en-US"/>
        </w:rPr>
        <w:t xml:space="preserve"> Indictment against </w:t>
      </w:r>
      <w:proofErr w:type="spellStart"/>
      <w:r w:rsidRPr="001F3A37">
        <w:rPr>
          <w:lang w:val="en-US"/>
        </w:rPr>
        <w:t>Milosevi</w:t>
      </w:r>
      <w:proofErr w:type="spellEnd"/>
      <w:r w:rsidRPr="00BB26B1">
        <w:rPr>
          <w:lang w:val="hr-HR"/>
        </w:rPr>
        <w:t>ć, consisting of three different documents</w:t>
      </w:r>
      <w:r w:rsidRPr="001F3A37">
        <w:rPr>
          <w:lang w:val="en-US"/>
        </w:rPr>
        <w:t xml:space="preserve">: a Croatia, a </w:t>
      </w:r>
      <w:proofErr w:type="spellStart"/>
      <w:r w:rsidRPr="001F3A37">
        <w:rPr>
          <w:lang w:val="en-US"/>
        </w:rPr>
        <w:t>BiH</w:t>
      </w:r>
      <w:proofErr w:type="spellEnd"/>
      <w:r w:rsidRPr="001F3A37">
        <w:rPr>
          <w:lang w:val="en-US"/>
        </w:rPr>
        <w:t xml:space="preserve"> and a Kosovo indictment. For the point made in this chapter only the </w:t>
      </w:r>
      <w:proofErr w:type="spellStart"/>
      <w:r w:rsidRPr="001F3A37">
        <w:rPr>
          <w:lang w:val="en-US"/>
        </w:rPr>
        <w:t>BiH</w:t>
      </w:r>
      <w:proofErr w:type="spellEnd"/>
      <w:r w:rsidRPr="001F3A37">
        <w:rPr>
          <w:lang w:val="en-US"/>
        </w:rPr>
        <w:t xml:space="preserve"> indictment is of relevance. </w:t>
      </w:r>
      <w:r w:rsidRPr="001F3A37">
        <w:rPr>
          <w:i/>
          <w:lang w:val="en-US"/>
        </w:rPr>
        <w:t>Prosecutor v. Slobodan Milosevic</w:t>
      </w:r>
      <w:r w:rsidRPr="001F3A37">
        <w:rPr>
          <w:lang w:val="en-US"/>
        </w:rPr>
        <w:t>, (Case No. IT-02-54)</w:t>
      </w:r>
    </w:p>
    <w:p w14:paraId="7B61C2FD" w14:textId="77777777" w:rsidR="002D6BB0" w:rsidRPr="00BB26B1" w:rsidRDefault="002D6BB0" w:rsidP="00C43744">
      <w:pPr>
        <w:pStyle w:val="FootnoteText"/>
        <w:jc w:val="both"/>
        <w:rPr>
          <w:lang w:val="hr-HR"/>
        </w:rPr>
      </w:pPr>
      <w:r w:rsidRPr="00BB26B1">
        <w:rPr>
          <w:lang w:val="hr-HR"/>
        </w:rPr>
        <w:t xml:space="preserve">Availabel online: </w:t>
      </w:r>
      <w:hyperlink r:id="rId3" w:history="1">
        <w:r w:rsidRPr="00BB26B1">
          <w:rPr>
            <w:rStyle w:val="Hyperlink"/>
            <w:lang w:val="hr-HR"/>
          </w:rPr>
          <w:t>http://www.icty.org/x/cases/slobodan_milosevic/ind/en/mil-2ai020728e.htm</w:t>
        </w:r>
      </w:hyperlink>
    </w:p>
    <w:p w14:paraId="70825ABE" w14:textId="77777777" w:rsidR="002D6BB0" w:rsidRPr="00BB26B1" w:rsidRDefault="002D6BB0" w:rsidP="00C43744">
      <w:pPr>
        <w:pStyle w:val="FootnoteText"/>
        <w:jc w:val="both"/>
        <w:rPr>
          <w:lang w:val="hr-HR"/>
        </w:rPr>
      </w:pPr>
      <w:hyperlink r:id="rId4" w:history="1">
        <w:r w:rsidRPr="00BB26B1">
          <w:rPr>
            <w:rStyle w:val="Hyperlink"/>
            <w:lang w:val="hr-HR"/>
          </w:rPr>
          <w:t>http://www.icty.org/x/cases/slobodan_milosevic/ind/en/mil-ai040421-e.htm</w:t>
        </w:r>
      </w:hyperlink>
    </w:p>
    <w:p w14:paraId="53E02E86" w14:textId="77777777" w:rsidR="002D6BB0" w:rsidRDefault="002D6BB0" w:rsidP="00C43744">
      <w:pPr>
        <w:pStyle w:val="FootnoteText"/>
        <w:jc w:val="both"/>
      </w:pPr>
      <w:r w:rsidRPr="00BB26B1">
        <w:rPr>
          <w:lang w:val="hr-HR"/>
        </w:rPr>
        <w:t>http://www.icty.org/x/cases/slobodan_milosevic/ind/en/mil-2ai011029e.htm</w:t>
      </w:r>
    </w:p>
  </w:footnote>
  <w:footnote w:id="22">
    <w:p w14:paraId="5A659C20" w14:textId="77777777" w:rsidR="002D6BB0" w:rsidRPr="00BB26B1" w:rsidRDefault="002D6BB0" w:rsidP="00C43744">
      <w:pPr>
        <w:pStyle w:val="FootnoteText"/>
        <w:jc w:val="both"/>
        <w:rPr>
          <w:lang w:val="hr-HR"/>
        </w:rPr>
      </w:pPr>
      <w:r w:rsidRPr="00BB26B1">
        <w:rPr>
          <w:rStyle w:val="FootnoteReference"/>
        </w:rPr>
        <w:footnoteRef/>
      </w:r>
      <w:r w:rsidRPr="001F3A37">
        <w:rPr>
          <w:lang w:val="en-US"/>
        </w:rPr>
        <w:t xml:space="preserve"> See </w:t>
      </w:r>
      <w:proofErr w:type="spellStart"/>
      <w:r w:rsidRPr="001F3A37">
        <w:rPr>
          <w:lang w:val="en-US"/>
        </w:rPr>
        <w:t>ICTY</w:t>
      </w:r>
      <w:proofErr w:type="spellEnd"/>
      <w:r w:rsidRPr="001F3A37">
        <w:rPr>
          <w:lang w:val="en-US"/>
        </w:rPr>
        <w:t xml:space="preserve"> Indictments:</w:t>
      </w:r>
      <w:r w:rsidRPr="001F3A37">
        <w:rPr>
          <w:i/>
          <w:lang w:val="en-US"/>
        </w:rPr>
        <w:t xml:space="preserve"> Prosecution v. </w:t>
      </w:r>
      <w:proofErr w:type="spellStart"/>
      <w:r w:rsidRPr="001F3A37">
        <w:rPr>
          <w:i/>
          <w:lang w:val="en-US"/>
        </w:rPr>
        <w:t>Stani</w:t>
      </w:r>
      <w:proofErr w:type="spellEnd"/>
      <w:r w:rsidRPr="00BB26B1">
        <w:rPr>
          <w:i/>
          <w:lang w:val="hr-HR"/>
        </w:rPr>
        <w:t xml:space="preserve">šić-Simatović </w:t>
      </w:r>
      <w:r w:rsidRPr="00BB26B1">
        <w:rPr>
          <w:lang w:val="en-US"/>
        </w:rPr>
        <w:t xml:space="preserve">(Case No. </w:t>
      </w:r>
      <w:r w:rsidRPr="001F3A37">
        <w:rPr>
          <w:lang w:val="en-US"/>
        </w:rPr>
        <w:t>IT-03-69-PT)</w:t>
      </w:r>
      <w:r w:rsidRPr="00BB26B1">
        <w:rPr>
          <w:lang w:val="en-US"/>
        </w:rPr>
        <w:t xml:space="preserve">; </w:t>
      </w:r>
      <w:r w:rsidRPr="00BB26B1">
        <w:rPr>
          <w:i/>
          <w:lang w:val="en-US"/>
        </w:rPr>
        <w:t>Prosecutor v. Mom</w:t>
      </w:r>
      <w:r w:rsidRPr="00BB26B1">
        <w:rPr>
          <w:i/>
          <w:lang w:val="hr-HR"/>
        </w:rPr>
        <w:t xml:space="preserve">čilo Perišić </w:t>
      </w:r>
      <w:r w:rsidRPr="00BB26B1">
        <w:rPr>
          <w:lang w:val="hr-HR"/>
        </w:rPr>
        <w:t>(Case No. IT-04-81-PT).</w:t>
      </w:r>
    </w:p>
    <w:p w14:paraId="0723627A" w14:textId="77777777" w:rsidR="002D6BB0" w:rsidRPr="00BB26B1" w:rsidRDefault="002D6BB0" w:rsidP="00C43744">
      <w:pPr>
        <w:pStyle w:val="FootnoteText"/>
        <w:jc w:val="both"/>
        <w:rPr>
          <w:lang w:val="hr-HR"/>
        </w:rPr>
      </w:pPr>
      <w:r w:rsidRPr="00BB26B1">
        <w:rPr>
          <w:lang w:val="hr-HR"/>
        </w:rPr>
        <w:t xml:space="preserve">Available online: </w:t>
      </w:r>
      <w:hyperlink r:id="rId5" w:history="1">
        <w:r w:rsidRPr="00BB26B1">
          <w:rPr>
            <w:rStyle w:val="Hyperlink"/>
            <w:lang w:val="hr-HR"/>
          </w:rPr>
          <w:t>http://www.icty.org/x/cases/stanisic_simatovic/ind/en/staj-in3rdamd080710.pdf</w:t>
        </w:r>
      </w:hyperlink>
    </w:p>
    <w:p w14:paraId="7385968B" w14:textId="77777777" w:rsidR="002D6BB0" w:rsidRDefault="002D6BB0" w:rsidP="00C43744">
      <w:pPr>
        <w:pStyle w:val="FootnoteText"/>
        <w:jc w:val="both"/>
      </w:pPr>
      <w:r w:rsidRPr="00BB26B1">
        <w:rPr>
          <w:lang w:val="en-US"/>
        </w:rPr>
        <w:t>http</w:t>
      </w:r>
      <w:r w:rsidRPr="00BB26B1">
        <w:rPr>
          <w:lang w:val="hr-HR"/>
        </w:rPr>
        <w:t>://</w:t>
      </w:r>
      <w:r w:rsidRPr="00BB26B1">
        <w:rPr>
          <w:lang w:val="en-US"/>
        </w:rPr>
        <w:t>www</w:t>
      </w:r>
      <w:r w:rsidRPr="00BB26B1">
        <w:rPr>
          <w:lang w:val="hr-HR"/>
        </w:rPr>
        <w:t>.</w:t>
      </w:r>
      <w:proofErr w:type="spellStart"/>
      <w:r w:rsidRPr="00BB26B1">
        <w:rPr>
          <w:lang w:val="en-US"/>
        </w:rPr>
        <w:t>icty</w:t>
      </w:r>
      <w:proofErr w:type="spellEnd"/>
      <w:r w:rsidRPr="00BB26B1">
        <w:rPr>
          <w:lang w:val="hr-HR"/>
        </w:rPr>
        <w:t>.</w:t>
      </w:r>
      <w:r w:rsidRPr="00BB26B1">
        <w:rPr>
          <w:lang w:val="en-US"/>
        </w:rPr>
        <w:t>org</w:t>
      </w:r>
      <w:r w:rsidRPr="00BB26B1">
        <w:rPr>
          <w:lang w:val="hr-HR"/>
        </w:rPr>
        <w:t>/</w:t>
      </w:r>
      <w:r w:rsidRPr="00BB26B1">
        <w:rPr>
          <w:lang w:val="en-US"/>
        </w:rPr>
        <w:t>x</w:t>
      </w:r>
      <w:r w:rsidRPr="00BB26B1">
        <w:rPr>
          <w:lang w:val="hr-HR"/>
        </w:rPr>
        <w:t>/</w:t>
      </w:r>
      <w:r w:rsidRPr="00BB26B1">
        <w:rPr>
          <w:lang w:val="en-US"/>
        </w:rPr>
        <w:t>cases</w:t>
      </w:r>
      <w:r w:rsidRPr="00BB26B1">
        <w:rPr>
          <w:lang w:val="hr-HR"/>
        </w:rPr>
        <w:t>/</w:t>
      </w:r>
      <w:proofErr w:type="spellStart"/>
      <w:r w:rsidRPr="00BB26B1">
        <w:rPr>
          <w:lang w:val="en-US"/>
        </w:rPr>
        <w:t>perisic</w:t>
      </w:r>
      <w:proofErr w:type="spellEnd"/>
      <w:r w:rsidRPr="00BB26B1">
        <w:rPr>
          <w:lang w:val="hr-HR"/>
        </w:rPr>
        <w:t>/</w:t>
      </w:r>
      <w:proofErr w:type="spellStart"/>
      <w:r w:rsidRPr="00BB26B1">
        <w:rPr>
          <w:lang w:val="en-US"/>
        </w:rPr>
        <w:t>ind</w:t>
      </w:r>
      <w:proofErr w:type="spellEnd"/>
      <w:r w:rsidRPr="00BB26B1">
        <w:rPr>
          <w:lang w:val="hr-HR"/>
        </w:rPr>
        <w:t>/</w:t>
      </w:r>
      <w:r w:rsidRPr="00BB26B1">
        <w:rPr>
          <w:lang w:val="en-US"/>
        </w:rPr>
        <w:t>en</w:t>
      </w:r>
      <w:r w:rsidRPr="00BB26B1">
        <w:rPr>
          <w:lang w:val="hr-HR"/>
        </w:rPr>
        <w:t>/</w:t>
      </w:r>
      <w:r w:rsidRPr="00BB26B1">
        <w:rPr>
          <w:lang w:val="en-US"/>
        </w:rPr>
        <w:t>per</w:t>
      </w:r>
      <w:r w:rsidRPr="00BB26B1">
        <w:rPr>
          <w:lang w:val="hr-HR"/>
        </w:rPr>
        <w:t>-</w:t>
      </w:r>
      <w:proofErr w:type="spellStart"/>
      <w:r w:rsidRPr="00BB26B1">
        <w:rPr>
          <w:lang w:val="en-US"/>
        </w:rPr>
        <w:t>sai</w:t>
      </w:r>
      <w:proofErr w:type="spellEnd"/>
      <w:r w:rsidRPr="00BB26B1">
        <w:rPr>
          <w:lang w:val="hr-HR"/>
        </w:rPr>
        <w:t>080205</w:t>
      </w:r>
      <w:r w:rsidRPr="00BB26B1">
        <w:rPr>
          <w:lang w:val="en-US"/>
        </w:rPr>
        <w:t>e</w:t>
      </w:r>
      <w:r w:rsidRPr="00BB26B1">
        <w:rPr>
          <w:lang w:val="hr-HR"/>
        </w:rPr>
        <w:t>.</w:t>
      </w:r>
      <w:proofErr w:type="spellStart"/>
      <w:r w:rsidRPr="00BB26B1">
        <w:rPr>
          <w:lang w:val="en-US"/>
        </w:rPr>
        <w:t>pdf</w:t>
      </w:r>
      <w:proofErr w:type="spellEnd"/>
    </w:p>
  </w:footnote>
  <w:footnote w:id="23">
    <w:p w14:paraId="66ED437C" w14:textId="77777777" w:rsidR="002D6BB0" w:rsidRPr="00BB26B1" w:rsidRDefault="002D6BB0" w:rsidP="00C43744">
      <w:pPr>
        <w:pStyle w:val="FootnoteText"/>
        <w:jc w:val="both"/>
        <w:rPr>
          <w:lang w:val="hr-HR"/>
        </w:rPr>
      </w:pPr>
      <w:r w:rsidRPr="00BB26B1">
        <w:rPr>
          <w:rStyle w:val="FootnoteReference"/>
        </w:rPr>
        <w:footnoteRef/>
      </w:r>
      <w:r w:rsidRPr="001F3A37">
        <w:rPr>
          <w:lang w:val="en-US"/>
        </w:rPr>
        <w:t xml:space="preserve"> See </w:t>
      </w:r>
      <w:proofErr w:type="spellStart"/>
      <w:r w:rsidRPr="001F3A37">
        <w:rPr>
          <w:lang w:val="en-US"/>
        </w:rPr>
        <w:t>ICTY</w:t>
      </w:r>
      <w:proofErr w:type="spellEnd"/>
      <w:r w:rsidRPr="001F3A37">
        <w:rPr>
          <w:lang w:val="en-US"/>
        </w:rPr>
        <w:t xml:space="preserve"> Judgment Summary in the </w:t>
      </w:r>
      <w:r w:rsidRPr="00BB26B1">
        <w:rPr>
          <w:i/>
          <w:lang w:val="en-US"/>
        </w:rPr>
        <w:t>Prosecutor v. Mom</w:t>
      </w:r>
      <w:r w:rsidRPr="00BB26B1">
        <w:rPr>
          <w:i/>
          <w:lang w:val="hr-HR"/>
        </w:rPr>
        <w:t xml:space="preserve">čilo Perišić </w:t>
      </w:r>
      <w:r w:rsidRPr="00BB26B1">
        <w:rPr>
          <w:lang w:val="hr-HR"/>
        </w:rPr>
        <w:t>(Case No. IT-04-81-PT).</w:t>
      </w:r>
    </w:p>
    <w:p w14:paraId="3742E8F4" w14:textId="77777777" w:rsidR="002D6BB0" w:rsidRDefault="002D6BB0" w:rsidP="00C43744">
      <w:pPr>
        <w:pStyle w:val="FootnoteText"/>
        <w:jc w:val="both"/>
      </w:pPr>
      <w:r w:rsidRPr="00BB26B1">
        <w:rPr>
          <w:lang w:val="hr-HR"/>
        </w:rPr>
        <w:t>Available online: http://www.icty.org/x/cases/perisic/acjug/en/130228_summary.pdf</w:t>
      </w:r>
    </w:p>
  </w:footnote>
  <w:footnote w:id="24">
    <w:p w14:paraId="1CEFAA9D" w14:textId="77777777" w:rsidR="002D6BB0" w:rsidRPr="00BB26B1" w:rsidRDefault="002D6BB0" w:rsidP="00C43744">
      <w:pPr>
        <w:pStyle w:val="FootnoteText"/>
        <w:rPr>
          <w:lang w:val="hr-HR"/>
        </w:rPr>
      </w:pPr>
      <w:r w:rsidRPr="00BB26B1">
        <w:rPr>
          <w:rStyle w:val="FootnoteReference"/>
        </w:rPr>
        <w:footnoteRef/>
      </w:r>
      <w:r w:rsidRPr="001F3A37">
        <w:rPr>
          <w:lang w:val="en-US"/>
        </w:rPr>
        <w:t xml:space="preserve"> See for example: </w:t>
      </w:r>
      <w:proofErr w:type="spellStart"/>
      <w:r w:rsidRPr="001F3A37">
        <w:rPr>
          <w:lang w:val="en-US"/>
        </w:rPr>
        <w:t>Laki</w:t>
      </w:r>
      <w:proofErr w:type="spellEnd"/>
      <w:r w:rsidRPr="00BB26B1">
        <w:rPr>
          <w:lang w:val="hr-HR"/>
        </w:rPr>
        <w:t xml:space="preserve">ć Đorović, </w:t>
      </w:r>
      <w:r w:rsidRPr="00BB26B1">
        <w:rPr>
          <w:i/>
          <w:lang w:val="hr-HR"/>
        </w:rPr>
        <w:t xml:space="preserve">Zaslužili ste orden od </w:t>
      </w:r>
      <w:proofErr w:type="gramStart"/>
      <w:r w:rsidRPr="00BB26B1">
        <w:rPr>
          <w:i/>
          <w:lang w:val="hr-HR"/>
        </w:rPr>
        <w:t>Pavkovića  Miloševića</w:t>
      </w:r>
      <w:proofErr w:type="gramEnd"/>
      <w:r w:rsidRPr="00BB26B1">
        <w:rPr>
          <w:lang w:val="hr-HR"/>
        </w:rPr>
        <w:t>, E-NOVINE, 15 March 2013.</w:t>
      </w:r>
    </w:p>
    <w:p w14:paraId="317117F0" w14:textId="77777777" w:rsidR="002D6BB0" w:rsidRDefault="002D6BB0" w:rsidP="00C43744">
      <w:pPr>
        <w:pStyle w:val="FootnoteText"/>
      </w:pPr>
      <w:r w:rsidRPr="00BB26B1">
        <w:rPr>
          <w:lang w:val="hr-HR"/>
        </w:rPr>
        <w:t>Available online</w:t>
      </w:r>
      <w:r w:rsidRPr="00BB26B1">
        <w:rPr>
          <w:lang w:val="en-US"/>
        </w:rPr>
        <w:t>:</w:t>
      </w:r>
      <w:r w:rsidRPr="001F3A37">
        <w:rPr>
          <w:lang w:val="en-US"/>
        </w:rPr>
        <w:t xml:space="preserve"> </w:t>
      </w:r>
      <w:r w:rsidRPr="00BB26B1">
        <w:rPr>
          <w:lang w:val="en-US"/>
        </w:rPr>
        <w:t>http://www.e-novine.com/stav/80744-Zasluili-ste-orden-Pavkovia-Miloevia.html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63F"/>
    <w:multiLevelType w:val="hybridMultilevel"/>
    <w:tmpl w:val="B2D292F2"/>
    <w:lvl w:ilvl="0" w:tplc="0A7A5938">
      <w:numFmt w:val="bullet"/>
      <w:lvlText w:val="-"/>
      <w:lvlJc w:val="left"/>
      <w:pPr>
        <w:tabs>
          <w:tab w:val="num" w:pos="720"/>
        </w:tabs>
        <w:ind w:left="720" w:hanging="360"/>
      </w:pPr>
      <w:rPr>
        <w:rFonts w:ascii="Cambria" w:eastAsia="Times New Roman" w:hAnsi="Cambria"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9400608"/>
    <w:multiLevelType w:val="hybridMultilevel"/>
    <w:tmpl w:val="129646D4"/>
    <w:lvl w:ilvl="0" w:tplc="991E847E">
      <w:start w:val="1"/>
      <w:numFmt w:val="bullet"/>
      <w:lvlText w:val="-"/>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20220168"/>
    <w:multiLevelType w:val="hybridMultilevel"/>
    <w:tmpl w:val="4EE8992E"/>
    <w:lvl w:ilvl="0" w:tplc="991E847E">
      <w:start w:val="1"/>
      <w:numFmt w:val="bullet"/>
      <w:lvlText w:val="-"/>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28A56AFE"/>
    <w:multiLevelType w:val="hybridMultilevel"/>
    <w:tmpl w:val="A2BA47D4"/>
    <w:lvl w:ilvl="0" w:tplc="04130003">
      <w:start w:val="1"/>
      <w:numFmt w:val="bullet"/>
      <w:lvlText w:val="o"/>
      <w:lvlJc w:val="left"/>
      <w:pPr>
        <w:ind w:left="1800" w:hanging="360"/>
      </w:pPr>
      <w:rPr>
        <w:rFonts w:ascii="Courier New" w:hAnsi="Courier New"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nsid w:val="35DD19D1"/>
    <w:multiLevelType w:val="hybridMultilevel"/>
    <w:tmpl w:val="3A54028C"/>
    <w:lvl w:ilvl="0" w:tplc="04130003">
      <w:start w:val="1"/>
      <w:numFmt w:val="bullet"/>
      <w:lvlText w:val="o"/>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36C1468D"/>
    <w:multiLevelType w:val="hybridMultilevel"/>
    <w:tmpl w:val="63BEC66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B4B7D98"/>
    <w:multiLevelType w:val="hybridMultilevel"/>
    <w:tmpl w:val="0EFE74CA"/>
    <w:lvl w:ilvl="0" w:tplc="04130003">
      <w:start w:val="1"/>
      <w:numFmt w:val="bullet"/>
      <w:lvlText w:val="o"/>
      <w:lvlJc w:val="left"/>
      <w:pPr>
        <w:ind w:left="1788" w:hanging="360"/>
      </w:pPr>
      <w:rPr>
        <w:rFonts w:ascii="Courier New" w:hAnsi="Courier New" w:hint="default"/>
      </w:rPr>
    </w:lvl>
    <w:lvl w:ilvl="1" w:tplc="04130003" w:tentative="1">
      <w:start w:val="1"/>
      <w:numFmt w:val="bullet"/>
      <w:lvlText w:val="o"/>
      <w:lvlJc w:val="left"/>
      <w:pPr>
        <w:ind w:left="2508" w:hanging="360"/>
      </w:pPr>
      <w:rPr>
        <w:rFonts w:ascii="Courier New" w:hAnsi="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7">
    <w:nsid w:val="4D4F0245"/>
    <w:multiLevelType w:val="hybridMultilevel"/>
    <w:tmpl w:val="9EE2E5B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FAF3293"/>
    <w:multiLevelType w:val="hybridMultilevel"/>
    <w:tmpl w:val="5A748F7E"/>
    <w:lvl w:ilvl="0" w:tplc="991E847E">
      <w:start w:val="1"/>
      <w:numFmt w:val="bullet"/>
      <w:lvlText w:val="-"/>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5E8132E9"/>
    <w:multiLevelType w:val="hybridMultilevel"/>
    <w:tmpl w:val="0F4056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3254F2D"/>
    <w:multiLevelType w:val="hybridMultilevel"/>
    <w:tmpl w:val="5C7C9DB4"/>
    <w:lvl w:ilvl="0" w:tplc="991E847E">
      <w:start w:val="1"/>
      <w:numFmt w:val="bullet"/>
      <w:lvlText w:val="-"/>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74C31C2C"/>
    <w:multiLevelType w:val="hybridMultilevel"/>
    <w:tmpl w:val="E2CC4EBE"/>
    <w:lvl w:ilvl="0" w:tplc="04130003">
      <w:start w:val="1"/>
      <w:numFmt w:val="bullet"/>
      <w:lvlText w:val="o"/>
      <w:lvlJc w:val="left"/>
      <w:pPr>
        <w:ind w:left="2136" w:hanging="360"/>
      </w:pPr>
      <w:rPr>
        <w:rFonts w:ascii="Courier New" w:hAnsi="Courier New"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77BD653C"/>
    <w:multiLevelType w:val="hybridMultilevel"/>
    <w:tmpl w:val="0A8282CE"/>
    <w:lvl w:ilvl="0" w:tplc="04130003">
      <w:start w:val="1"/>
      <w:numFmt w:val="bullet"/>
      <w:lvlText w:val="o"/>
      <w:lvlJc w:val="left"/>
      <w:pPr>
        <w:ind w:left="1788" w:hanging="360"/>
      </w:pPr>
      <w:rPr>
        <w:rFonts w:ascii="Courier New" w:hAnsi="Courier New" w:hint="default"/>
      </w:rPr>
    </w:lvl>
    <w:lvl w:ilvl="1" w:tplc="04130003" w:tentative="1">
      <w:start w:val="1"/>
      <w:numFmt w:val="bullet"/>
      <w:lvlText w:val="o"/>
      <w:lvlJc w:val="left"/>
      <w:pPr>
        <w:ind w:left="2508" w:hanging="360"/>
      </w:pPr>
      <w:rPr>
        <w:rFonts w:ascii="Courier New" w:hAnsi="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3">
    <w:nsid w:val="7BA52C88"/>
    <w:multiLevelType w:val="hybridMultilevel"/>
    <w:tmpl w:val="29C033BC"/>
    <w:lvl w:ilvl="0" w:tplc="991E847E">
      <w:start w:val="1"/>
      <w:numFmt w:val="bullet"/>
      <w:lvlText w:val="-"/>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13"/>
  </w:num>
  <w:num w:numId="6">
    <w:abstractNumId w:val="2"/>
  </w:num>
  <w:num w:numId="7">
    <w:abstractNumId w:val="10"/>
  </w:num>
  <w:num w:numId="8">
    <w:abstractNumId w:val="1"/>
  </w:num>
  <w:num w:numId="9">
    <w:abstractNumId w:val="11"/>
  </w:num>
  <w:num w:numId="10">
    <w:abstractNumId w:val="4"/>
  </w:num>
  <w:num w:numId="11">
    <w:abstractNumId w:val="7"/>
  </w:num>
  <w:num w:numId="12">
    <w:abstractNumId w:val="3"/>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62"/>
    <w:rsid w:val="00001026"/>
    <w:rsid w:val="00003759"/>
    <w:rsid w:val="000161BC"/>
    <w:rsid w:val="000313E3"/>
    <w:rsid w:val="00044633"/>
    <w:rsid w:val="00047653"/>
    <w:rsid w:val="00057940"/>
    <w:rsid w:val="00066E69"/>
    <w:rsid w:val="0006750A"/>
    <w:rsid w:val="000812D2"/>
    <w:rsid w:val="000927F8"/>
    <w:rsid w:val="000A0B9D"/>
    <w:rsid w:val="000B4E24"/>
    <w:rsid w:val="00122C39"/>
    <w:rsid w:val="001469E9"/>
    <w:rsid w:val="001514B7"/>
    <w:rsid w:val="0015568C"/>
    <w:rsid w:val="0015582E"/>
    <w:rsid w:val="00155CA0"/>
    <w:rsid w:val="00157044"/>
    <w:rsid w:val="00161FCE"/>
    <w:rsid w:val="0017698A"/>
    <w:rsid w:val="001835CF"/>
    <w:rsid w:val="0018385D"/>
    <w:rsid w:val="00191E49"/>
    <w:rsid w:val="00195BE5"/>
    <w:rsid w:val="001A0A6D"/>
    <w:rsid w:val="001A333D"/>
    <w:rsid w:val="001B34D4"/>
    <w:rsid w:val="001B5146"/>
    <w:rsid w:val="001D461B"/>
    <w:rsid w:val="001E3CE9"/>
    <w:rsid w:val="001F32E3"/>
    <w:rsid w:val="001F3A37"/>
    <w:rsid w:val="001F76B3"/>
    <w:rsid w:val="00206DD8"/>
    <w:rsid w:val="00207393"/>
    <w:rsid w:val="002130D3"/>
    <w:rsid w:val="002173AE"/>
    <w:rsid w:val="0023299D"/>
    <w:rsid w:val="00240F68"/>
    <w:rsid w:val="00250C20"/>
    <w:rsid w:val="00262123"/>
    <w:rsid w:val="002676C6"/>
    <w:rsid w:val="00275D2E"/>
    <w:rsid w:val="00282804"/>
    <w:rsid w:val="00285363"/>
    <w:rsid w:val="00287247"/>
    <w:rsid w:val="00287B52"/>
    <w:rsid w:val="002901C2"/>
    <w:rsid w:val="00291CA7"/>
    <w:rsid w:val="002943BC"/>
    <w:rsid w:val="002A03C4"/>
    <w:rsid w:val="002A580B"/>
    <w:rsid w:val="002B5A22"/>
    <w:rsid w:val="002C158A"/>
    <w:rsid w:val="002D48C2"/>
    <w:rsid w:val="002D59A3"/>
    <w:rsid w:val="002D6BB0"/>
    <w:rsid w:val="002F1479"/>
    <w:rsid w:val="00300DC3"/>
    <w:rsid w:val="0030451D"/>
    <w:rsid w:val="00307E91"/>
    <w:rsid w:val="00307EBB"/>
    <w:rsid w:val="003226F4"/>
    <w:rsid w:val="00322736"/>
    <w:rsid w:val="00325ABB"/>
    <w:rsid w:val="003269AB"/>
    <w:rsid w:val="0032710C"/>
    <w:rsid w:val="00336E02"/>
    <w:rsid w:val="00353D97"/>
    <w:rsid w:val="00355DAF"/>
    <w:rsid w:val="00364F4F"/>
    <w:rsid w:val="00366D7D"/>
    <w:rsid w:val="00371B2F"/>
    <w:rsid w:val="00385EC4"/>
    <w:rsid w:val="00390E14"/>
    <w:rsid w:val="00392317"/>
    <w:rsid w:val="003B4104"/>
    <w:rsid w:val="003B5C7A"/>
    <w:rsid w:val="003C03CC"/>
    <w:rsid w:val="003D6505"/>
    <w:rsid w:val="004076E4"/>
    <w:rsid w:val="00413F7B"/>
    <w:rsid w:val="00414ABF"/>
    <w:rsid w:val="00414DF1"/>
    <w:rsid w:val="0042348C"/>
    <w:rsid w:val="00427DCD"/>
    <w:rsid w:val="004314CD"/>
    <w:rsid w:val="0045345B"/>
    <w:rsid w:val="004568A5"/>
    <w:rsid w:val="00460BA4"/>
    <w:rsid w:val="00463C3C"/>
    <w:rsid w:val="004705A1"/>
    <w:rsid w:val="00472E67"/>
    <w:rsid w:val="00476404"/>
    <w:rsid w:val="0049007B"/>
    <w:rsid w:val="00490C1C"/>
    <w:rsid w:val="00490E8E"/>
    <w:rsid w:val="00495E44"/>
    <w:rsid w:val="00496872"/>
    <w:rsid w:val="004A0313"/>
    <w:rsid w:val="004A3919"/>
    <w:rsid w:val="004A73D5"/>
    <w:rsid w:val="004B5F05"/>
    <w:rsid w:val="004C446C"/>
    <w:rsid w:val="004C6A5D"/>
    <w:rsid w:val="004D0D0F"/>
    <w:rsid w:val="004D4F83"/>
    <w:rsid w:val="004D76ED"/>
    <w:rsid w:val="004E484C"/>
    <w:rsid w:val="004E6198"/>
    <w:rsid w:val="004F19B4"/>
    <w:rsid w:val="0050145D"/>
    <w:rsid w:val="00501B25"/>
    <w:rsid w:val="0050255B"/>
    <w:rsid w:val="00510511"/>
    <w:rsid w:val="00513487"/>
    <w:rsid w:val="005331EA"/>
    <w:rsid w:val="005332BB"/>
    <w:rsid w:val="00533D87"/>
    <w:rsid w:val="00533D8E"/>
    <w:rsid w:val="00543574"/>
    <w:rsid w:val="00544086"/>
    <w:rsid w:val="00550CF0"/>
    <w:rsid w:val="005545AB"/>
    <w:rsid w:val="005A0854"/>
    <w:rsid w:val="005B263C"/>
    <w:rsid w:val="005B4B19"/>
    <w:rsid w:val="005B628E"/>
    <w:rsid w:val="005B6E86"/>
    <w:rsid w:val="005C5F52"/>
    <w:rsid w:val="005D4D4F"/>
    <w:rsid w:val="005D504D"/>
    <w:rsid w:val="005D7880"/>
    <w:rsid w:val="005E6779"/>
    <w:rsid w:val="005F4956"/>
    <w:rsid w:val="006272D1"/>
    <w:rsid w:val="006334B7"/>
    <w:rsid w:val="00643FEC"/>
    <w:rsid w:val="00650B7A"/>
    <w:rsid w:val="0066272F"/>
    <w:rsid w:val="00670E68"/>
    <w:rsid w:val="00675C36"/>
    <w:rsid w:val="006826BD"/>
    <w:rsid w:val="00685726"/>
    <w:rsid w:val="00693B51"/>
    <w:rsid w:val="006956AD"/>
    <w:rsid w:val="006A2753"/>
    <w:rsid w:val="006A2AC1"/>
    <w:rsid w:val="006A5D8F"/>
    <w:rsid w:val="006B6FDE"/>
    <w:rsid w:val="006C502C"/>
    <w:rsid w:val="006D5224"/>
    <w:rsid w:val="006E3058"/>
    <w:rsid w:val="006E4352"/>
    <w:rsid w:val="006E6898"/>
    <w:rsid w:val="006F1D8A"/>
    <w:rsid w:val="006F3980"/>
    <w:rsid w:val="0073452A"/>
    <w:rsid w:val="0073465E"/>
    <w:rsid w:val="0074180C"/>
    <w:rsid w:val="00747426"/>
    <w:rsid w:val="00754FA8"/>
    <w:rsid w:val="00757123"/>
    <w:rsid w:val="0076371E"/>
    <w:rsid w:val="00763F3D"/>
    <w:rsid w:val="00772C2E"/>
    <w:rsid w:val="00773539"/>
    <w:rsid w:val="00786BCF"/>
    <w:rsid w:val="007B4581"/>
    <w:rsid w:val="007C0350"/>
    <w:rsid w:val="008116CA"/>
    <w:rsid w:val="00821E62"/>
    <w:rsid w:val="008235B5"/>
    <w:rsid w:val="0083017B"/>
    <w:rsid w:val="00835E55"/>
    <w:rsid w:val="00841BF6"/>
    <w:rsid w:val="00860F4D"/>
    <w:rsid w:val="00863EC0"/>
    <w:rsid w:val="008834BA"/>
    <w:rsid w:val="008E2DD7"/>
    <w:rsid w:val="008F2197"/>
    <w:rsid w:val="0090019C"/>
    <w:rsid w:val="00900F4C"/>
    <w:rsid w:val="009046C9"/>
    <w:rsid w:val="0090785A"/>
    <w:rsid w:val="00912976"/>
    <w:rsid w:val="00913027"/>
    <w:rsid w:val="00927595"/>
    <w:rsid w:val="00936A5D"/>
    <w:rsid w:val="009371CC"/>
    <w:rsid w:val="00951789"/>
    <w:rsid w:val="00956B2C"/>
    <w:rsid w:val="0096344D"/>
    <w:rsid w:val="00963E27"/>
    <w:rsid w:val="0097281E"/>
    <w:rsid w:val="009766BD"/>
    <w:rsid w:val="009773E1"/>
    <w:rsid w:val="009776A0"/>
    <w:rsid w:val="00995AB6"/>
    <w:rsid w:val="009A2B01"/>
    <w:rsid w:val="009B4595"/>
    <w:rsid w:val="009C74ED"/>
    <w:rsid w:val="009D36C4"/>
    <w:rsid w:val="009D6ACF"/>
    <w:rsid w:val="009E1117"/>
    <w:rsid w:val="009E1514"/>
    <w:rsid w:val="009E54DB"/>
    <w:rsid w:val="009F17EC"/>
    <w:rsid w:val="009F3CD1"/>
    <w:rsid w:val="00A01684"/>
    <w:rsid w:val="00A021C3"/>
    <w:rsid w:val="00A03119"/>
    <w:rsid w:val="00A113B0"/>
    <w:rsid w:val="00A46FA4"/>
    <w:rsid w:val="00A666FC"/>
    <w:rsid w:val="00A75348"/>
    <w:rsid w:val="00A833C0"/>
    <w:rsid w:val="00A842CA"/>
    <w:rsid w:val="00A869C9"/>
    <w:rsid w:val="00A949AC"/>
    <w:rsid w:val="00AA3911"/>
    <w:rsid w:val="00AB120F"/>
    <w:rsid w:val="00AB3223"/>
    <w:rsid w:val="00AC1AFC"/>
    <w:rsid w:val="00AD2F80"/>
    <w:rsid w:val="00AD45C9"/>
    <w:rsid w:val="00AD62AE"/>
    <w:rsid w:val="00AE20AE"/>
    <w:rsid w:val="00AE2747"/>
    <w:rsid w:val="00AE2CE2"/>
    <w:rsid w:val="00B00AF8"/>
    <w:rsid w:val="00B1237F"/>
    <w:rsid w:val="00B228CA"/>
    <w:rsid w:val="00B261E8"/>
    <w:rsid w:val="00B368B0"/>
    <w:rsid w:val="00B3763F"/>
    <w:rsid w:val="00B506BB"/>
    <w:rsid w:val="00B54132"/>
    <w:rsid w:val="00B555B7"/>
    <w:rsid w:val="00B57689"/>
    <w:rsid w:val="00B6182B"/>
    <w:rsid w:val="00B65DC5"/>
    <w:rsid w:val="00B703B9"/>
    <w:rsid w:val="00B82169"/>
    <w:rsid w:val="00B85316"/>
    <w:rsid w:val="00B90D18"/>
    <w:rsid w:val="00B92D3F"/>
    <w:rsid w:val="00B93AEB"/>
    <w:rsid w:val="00BA3465"/>
    <w:rsid w:val="00BB26B1"/>
    <w:rsid w:val="00BB5FBB"/>
    <w:rsid w:val="00BC1B53"/>
    <w:rsid w:val="00BC2676"/>
    <w:rsid w:val="00BD1B27"/>
    <w:rsid w:val="00BE27C3"/>
    <w:rsid w:val="00BE3453"/>
    <w:rsid w:val="00BE7148"/>
    <w:rsid w:val="00BF49B2"/>
    <w:rsid w:val="00BF548D"/>
    <w:rsid w:val="00BF5E5E"/>
    <w:rsid w:val="00C067B7"/>
    <w:rsid w:val="00C15DA1"/>
    <w:rsid w:val="00C27D60"/>
    <w:rsid w:val="00C3750D"/>
    <w:rsid w:val="00C37FFC"/>
    <w:rsid w:val="00C43744"/>
    <w:rsid w:val="00C52B88"/>
    <w:rsid w:val="00C601CA"/>
    <w:rsid w:val="00C65460"/>
    <w:rsid w:val="00C73C6B"/>
    <w:rsid w:val="00C75C53"/>
    <w:rsid w:val="00C8507B"/>
    <w:rsid w:val="00C86FAA"/>
    <w:rsid w:val="00C87919"/>
    <w:rsid w:val="00C90A71"/>
    <w:rsid w:val="00C94946"/>
    <w:rsid w:val="00CA431C"/>
    <w:rsid w:val="00CB4564"/>
    <w:rsid w:val="00CC3D4C"/>
    <w:rsid w:val="00CD4317"/>
    <w:rsid w:val="00CE201F"/>
    <w:rsid w:val="00CE5E8F"/>
    <w:rsid w:val="00CE6DDC"/>
    <w:rsid w:val="00CF4CD8"/>
    <w:rsid w:val="00D01285"/>
    <w:rsid w:val="00D02435"/>
    <w:rsid w:val="00D05C26"/>
    <w:rsid w:val="00D203D6"/>
    <w:rsid w:val="00D47DA0"/>
    <w:rsid w:val="00D546DC"/>
    <w:rsid w:val="00D71A17"/>
    <w:rsid w:val="00DA0525"/>
    <w:rsid w:val="00DA1925"/>
    <w:rsid w:val="00DA7DA1"/>
    <w:rsid w:val="00DC13FA"/>
    <w:rsid w:val="00DE4512"/>
    <w:rsid w:val="00DE52FE"/>
    <w:rsid w:val="00DF3229"/>
    <w:rsid w:val="00E1372B"/>
    <w:rsid w:val="00E224D0"/>
    <w:rsid w:val="00E3651B"/>
    <w:rsid w:val="00E36BE9"/>
    <w:rsid w:val="00E402F6"/>
    <w:rsid w:val="00E40E07"/>
    <w:rsid w:val="00E60C0B"/>
    <w:rsid w:val="00E70665"/>
    <w:rsid w:val="00E7407F"/>
    <w:rsid w:val="00E82A6E"/>
    <w:rsid w:val="00E92612"/>
    <w:rsid w:val="00E94470"/>
    <w:rsid w:val="00E9783A"/>
    <w:rsid w:val="00EA242B"/>
    <w:rsid w:val="00EA3A02"/>
    <w:rsid w:val="00EA696F"/>
    <w:rsid w:val="00ED030D"/>
    <w:rsid w:val="00ED10A2"/>
    <w:rsid w:val="00EE2929"/>
    <w:rsid w:val="00EF2DDD"/>
    <w:rsid w:val="00EF679F"/>
    <w:rsid w:val="00F077EA"/>
    <w:rsid w:val="00F25F46"/>
    <w:rsid w:val="00F35D7B"/>
    <w:rsid w:val="00F4418C"/>
    <w:rsid w:val="00F4443F"/>
    <w:rsid w:val="00F600B2"/>
    <w:rsid w:val="00F6233A"/>
    <w:rsid w:val="00F6790C"/>
    <w:rsid w:val="00F724E0"/>
    <w:rsid w:val="00F72863"/>
    <w:rsid w:val="00F73D43"/>
    <w:rsid w:val="00F75D9D"/>
    <w:rsid w:val="00F84BFB"/>
    <w:rsid w:val="00F90161"/>
    <w:rsid w:val="00F93225"/>
    <w:rsid w:val="00F95165"/>
    <w:rsid w:val="00FD63B5"/>
    <w:rsid w:val="00FE3CB8"/>
    <w:rsid w:val="00FF52D8"/>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4B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E3"/>
    <w:rPr>
      <w:rFonts w:ascii="Times New Roman" w:eastAsia="Times New Roman" w:hAnsi="Times New Roman"/>
      <w:sz w:val="24"/>
      <w:szCs w:val="24"/>
      <w:lang w:val="nl-NL" w:eastAsia="nl-NL"/>
    </w:rPr>
  </w:style>
  <w:style w:type="paragraph" w:styleId="Heading1">
    <w:name w:val="heading 1"/>
    <w:aliases w:val="Scriptie Heading 1"/>
    <w:basedOn w:val="Normal"/>
    <w:next w:val="Normal"/>
    <w:link w:val="Heading1Char"/>
    <w:uiPriority w:val="99"/>
    <w:qFormat/>
    <w:rsid w:val="00821E62"/>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821E6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riptie Heading 1 Char"/>
    <w:basedOn w:val="DefaultParagraphFont"/>
    <w:link w:val="Heading1"/>
    <w:uiPriority w:val="99"/>
    <w:locked/>
    <w:rsid w:val="00821E62"/>
    <w:rPr>
      <w:rFonts w:ascii="Times New Roman" w:hAnsi="Times New Roman" w:cs="Arial"/>
      <w:b/>
      <w:bCs/>
      <w:kern w:val="32"/>
      <w:sz w:val="32"/>
      <w:szCs w:val="32"/>
      <w:lang w:eastAsia="nl-NL"/>
    </w:rPr>
  </w:style>
  <w:style w:type="character" w:customStyle="1" w:styleId="Heading3Char">
    <w:name w:val="Heading 3 Char"/>
    <w:basedOn w:val="DefaultParagraphFont"/>
    <w:link w:val="Heading3"/>
    <w:uiPriority w:val="99"/>
    <w:locked/>
    <w:rsid w:val="00821E62"/>
    <w:rPr>
      <w:rFonts w:ascii="Times New Roman" w:hAnsi="Times New Roman" w:cs="Arial"/>
      <w:b/>
      <w:bCs/>
      <w:sz w:val="26"/>
      <w:szCs w:val="26"/>
      <w:lang w:eastAsia="nl-NL"/>
    </w:rPr>
  </w:style>
  <w:style w:type="paragraph" w:styleId="BalloonText">
    <w:name w:val="Balloon Text"/>
    <w:basedOn w:val="Normal"/>
    <w:link w:val="BalloonTextChar"/>
    <w:uiPriority w:val="99"/>
    <w:semiHidden/>
    <w:rsid w:val="00693B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93B51"/>
    <w:rPr>
      <w:rFonts w:ascii="Lucida Grande" w:hAnsi="Lucida Grande" w:cs="Lucida Grande"/>
      <w:sz w:val="18"/>
      <w:szCs w:val="18"/>
      <w:lang w:eastAsia="nl-NL"/>
    </w:rPr>
  </w:style>
  <w:style w:type="character" w:styleId="FootnoteReference">
    <w:name w:val="footnote reference"/>
    <w:aliases w:val="Appel note de bas de page"/>
    <w:basedOn w:val="DefaultParagraphFont"/>
    <w:uiPriority w:val="99"/>
    <w:rsid w:val="00821E62"/>
    <w:rPr>
      <w:rFonts w:cs="Times New Roman"/>
      <w:vertAlign w:val="superscript"/>
    </w:rPr>
  </w:style>
  <w:style w:type="paragraph" w:styleId="FootnoteText">
    <w:name w:val="footnote text"/>
    <w:aliases w:val="Footnote Text Char Char Char Char,Footnote Text Char Char,Footnote Text Char Char Char Char Char Char,Footnote Text Char Char Char,FA,FA Fußnotentext,Footnote Text Char Char Char Char1,Footnote Text Char1,FA1,FA2,FA3,FA4,Footnotes"/>
    <w:basedOn w:val="Normal"/>
    <w:link w:val="FootnoteTextChar"/>
    <w:uiPriority w:val="99"/>
    <w:rsid w:val="00821E62"/>
    <w:rPr>
      <w:sz w:val="20"/>
      <w:szCs w:val="20"/>
    </w:rPr>
  </w:style>
  <w:style w:type="character" w:customStyle="1" w:styleId="FootnoteTextChar">
    <w:name w:val="Footnote Text Char"/>
    <w:aliases w:val="Footnote Text Char Char Char Char Char,Footnote Text Char Char Char1,Footnote Text Char Char Char Char Char Char Char,Footnote Text Char Char Char Char2,FA Char,FA Fußnotentext Char,Footnote Text Char Char Char Char1 Char,FA1 Char"/>
    <w:basedOn w:val="DefaultParagraphFont"/>
    <w:link w:val="FootnoteText"/>
    <w:uiPriority w:val="99"/>
    <w:locked/>
    <w:rsid w:val="00821E62"/>
    <w:rPr>
      <w:rFonts w:ascii="Times New Roman" w:hAnsi="Times New Roman" w:cs="Times New Roman"/>
      <w:sz w:val="20"/>
      <w:szCs w:val="20"/>
      <w:lang w:eastAsia="nl-NL"/>
    </w:rPr>
  </w:style>
  <w:style w:type="paragraph" w:styleId="NormalWeb">
    <w:name w:val="Normal (Web)"/>
    <w:basedOn w:val="Normal"/>
    <w:uiPriority w:val="99"/>
    <w:semiHidden/>
    <w:rsid w:val="00003759"/>
    <w:pPr>
      <w:spacing w:before="100" w:beforeAutospacing="1" w:after="100" w:afterAutospacing="1"/>
    </w:pPr>
    <w:rPr>
      <w:rFonts w:ascii="Times" w:eastAsia="MS ??" w:hAnsi="Times"/>
      <w:sz w:val="20"/>
      <w:szCs w:val="20"/>
      <w:lang w:val="en-GB" w:eastAsia="en-US"/>
    </w:rPr>
  </w:style>
  <w:style w:type="paragraph" w:customStyle="1" w:styleId="NT-Normal">
    <w:name w:val="NT-Normal"/>
    <w:basedOn w:val="Normal"/>
    <w:uiPriority w:val="99"/>
    <w:rsid w:val="00F95165"/>
    <w:pPr>
      <w:spacing w:before="240" w:line="360" w:lineRule="auto"/>
      <w:jc w:val="both"/>
    </w:pPr>
    <w:rPr>
      <w:rFonts w:ascii="TimesPP" w:hAnsi="TimesPP" w:cs="TimesPP"/>
      <w:color w:val="000000"/>
      <w:lang w:val="en-US" w:eastAsia="en-US"/>
    </w:rPr>
  </w:style>
  <w:style w:type="paragraph" w:customStyle="1" w:styleId="NT-Blockquote">
    <w:name w:val="NT-Blockquote"/>
    <w:basedOn w:val="NT-Normal"/>
    <w:uiPriority w:val="99"/>
    <w:rsid w:val="00F95165"/>
    <w:pPr>
      <w:tabs>
        <w:tab w:val="left" w:pos="7920"/>
      </w:tabs>
      <w:ind w:left="720" w:right="720"/>
    </w:pPr>
  </w:style>
  <w:style w:type="paragraph" w:customStyle="1" w:styleId="NT-Footnote">
    <w:name w:val="NT-Footnote"/>
    <w:basedOn w:val="FootnoteText"/>
    <w:uiPriority w:val="99"/>
    <w:rsid w:val="00F95165"/>
    <w:pPr>
      <w:tabs>
        <w:tab w:val="left" w:pos="993"/>
        <w:tab w:val="left" w:pos="1134"/>
        <w:tab w:val="left" w:pos="1276"/>
      </w:tabs>
    </w:pPr>
    <w:rPr>
      <w:rFonts w:ascii="TimesPP" w:hAnsi="TimesPP" w:cs="TimesPP"/>
      <w:sz w:val="16"/>
      <w:szCs w:val="16"/>
      <w:lang w:val="en-GB" w:eastAsia="en-US"/>
    </w:rPr>
  </w:style>
  <w:style w:type="paragraph" w:styleId="Footer">
    <w:name w:val="footer"/>
    <w:basedOn w:val="Normal"/>
    <w:link w:val="FooterChar"/>
    <w:uiPriority w:val="99"/>
    <w:rsid w:val="00747426"/>
    <w:pPr>
      <w:tabs>
        <w:tab w:val="center" w:pos="4320"/>
        <w:tab w:val="right" w:pos="8640"/>
      </w:tabs>
    </w:pPr>
  </w:style>
  <w:style w:type="character" w:customStyle="1" w:styleId="FooterChar">
    <w:name w:val="Footer Char"/>
    <w:basedOn w:val="DefaultParagraphFont"/>
    <w:link w:val="Footer"/>
    <w:uiPriority w:val="99"/>
    <w:locked/>
    <w:rsid w:val="00747426"/>
    <w:rPr>
      <w:rFonts w:ascii="Times New Roman" w:hAnsi="Times New Roman" w:cs="Times New Roman"/>
      <w:sz w:val="24"/>
      <w:szCs w:val="24"/>
      <w:lang w:eastAsia="nl-NL"/>
    </w:rPr>
  </w:style>
  <w:style w:type="character" w:styleId="PageNumber">
    <w:name w:val="page number"/>
    <w:basedOn w:val="DefaultParagraphFont"/>
    <w:uiPriority w:val="99"/>
    <w:semiHidden/>
    <w:rsid w:val="00747426"/>
    <w:rPr>
      <w:rFonts w:cs="Times New Roman"/>
    </w:rPr>
  </w:style>
  <w:style w:type="paragraph" w:styleId="ListParagraph">
    <w:name w:val="List Paragraph"/>
    <w:basedOn w:val="Normal"/>
    <w:uiPriority w:val="99"/>
    <w:qFormat/>
    <w:rsid w:val="00F73D43"/>
    <w:pPr>
      <w:ind w:left="720"/>
      <w:contextualSpacing/>
    </w:pPr>
    <w:rPr>
      <w:lang w:val="en-GB" w:eastAsia="ja-JP"/>
    </w:rPr>
  </w:style>
  <w:style w:type="character" w:styleId="IntenseReference">
    <w:name w:val="Intense Reference"/>
    <w:basedOn w:val="DefaultParagraphFont"/>
    <w:uiPriority w:val="99"/>
    <w:qFormat/>
    <w:rsid w:val="00F73D43"/>
    <w:rPr>
      <w:rFonts w:cs="Times New Roman"/>
      <w:b/>
      <w:bCs/>
      <w:smallCaps/>
      <w:color w:val="C0504D"/>
      <w:spacing w:val="5"/>
      <w:u w:val="single"/>
    </w:rPr>
  </w:style>
  <w:style w:type="paragraph" w:customStyle="1" w:styleId="Lijstalinea">
    <w:name w:val="Lijstalinea"/>
    <w:basedOn w:val="Normal"/>
    <w:uiPriority w:val="99"/>
    <w:rsid w:val="00F73D43"/>
    <w:pPr>
      <w:ind w:left="720"/>
      <w:contextualSpacing/>
    </w:pPr>
    <w:rPr>
      <w:lang w:val="en-GB"/>
    </w:rPr>
  </w:style>
  <w:style w:type="paragraph" w:customStyle="1" w:styleId="Paragraph">
    <w:name w:val="Paragraph"/>
    <w:basedOn w:val="Normal"/>
    <w:link w:val="ParagraphChar"/>
    <w:uiPriority w:val="99"/>
    <w:rsid w:val="00AD2F80"/>
    <w:pPr>
      <w:spacing w:before="120" w:after="240" w:line="360" w:lineRule="auto"/>
      <w:jc w:val="both"/>
    </w:pPr>
    <w:rPr>
      <w:lang w:val="en-GB" w:eastAsia="ja-JP"/>
    </w:rPr>
  </w:style>
  <w:style w:type="character" w:customStyle="1" w:styleId="ParagraphChar">
    <w:name w:val="Paragraph Char"/>
    <w:basedOn w:val="DefaultParagraphFont"/>
    <w:link w:val="Paragraph"/>
    <w:uiPriority w:val="99"/>
    <w:locked/>
    <w:rsid w:val="00AD2F8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rsid w:val="008E2DD7"/>
    <w:rPr>
      <w:rFonts w:cs="Times New Roman"/>
      <w:sz w:val="16"/>
      <w:szCs w:val="16"/>
    </w:rPr>
  </w:style>
  <w:style w:type="paragraph" w:styleId="CommentText">
    <w:name w:val="annotation text"/>
    <w:basedOn w:val="Normal"/>
    <w:link w:val="CommentTextChar"/>
    <w:uiPriority w:val="99"/>
    <w:semiHidden/>
    <w:rsid w:val="008E2DD7"/>
    <w:rPr>
      <w:sz w:val="20"/>
      <w:szCs w:val="20"/>
    </w:rPr>
  </w:style>
  <w:style w:type="character" w:customStyle="1" w:styleId="CommentTextChar">
    <w:name w:val="Comment Text Char"/>
    <w:basedOn w:val="DefaultParagraphFont"/>
    <w:link w:val="CommentText"/>
    <w:uiPriority w:val="99"/>
    <w:semiHidden/>
    <w:locked/>
    <w:rsid w:val="00057940"/>
    <w:rPr>
      <w:rFonts w:ascii="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rsid w:val="008E2DD7"/>
    <w:rPr>
      <w:b/>
      <w:bCs/>
    </w:rPr>
  </w:style>
  <w:style w:type="character" w:customStyle="1" w:styleId="CommentSubjectChar">
    <w:name w:val="Comment Subject Char"/>
    <w:basedOn w:val="CommentTextChar"/>
    <w:link w:val="CommentSubject"/>
    <w:uiPriority w:val="99"/>
    <w:semiHidden/>
    <w:locked/>
    <w:rsid w:val="00057940"/>
    <w:rPr>
      <w:rFonts w:ascii="Times New Roman" w:hAnsi="Times New Roman" w:cs="Times New Roman"/>
      <w:b/>
      <w:bCs/>
      <w:sz w:val="20"/>
      <w:szCs w:val="20"/>
      <w:lang w:val="nl-NL" w:eastAsia="nl-NL"/>
    </w:rPr>
  </w:style>
  <w:style w:type="character" w:styleId="Hyperlink">
    <w:name w:val="Hyperlink"/>
    <w:basedOn w:val="DefaultParagraphFont"/>
    <w:uiPriority w:val="99"/>
    <w:rsid w:val="00C43744"/>
    <w:rPr>
      <w:rFonts w:cs="Times New Roman"/>
      <w:color w:val="0000FF"/>
      <w:u w:val="single"/>
    </w:rPr>
  </w:style>
  <w:style w:type="character" w:styleId="FollowedHyperlink">
    <w:name w:val="FollowedHyperlink"/>
    <w:basedOn w:val="DefaultParagraphFont"/>
    <w:uiPriority w:val="99"/>
    <w:semiHidden/>
    <w:rsid w:val="00250C20"/>
    <w:rPr>
      <w:rFonts w:cs="Times New Roman"/>
      <w:color w:val="800080"/>
      <w:u w:val="single"/>
    </w:rPr>
  </w:style>
  <w:style w:type="paragraph" w:styleId="Revision">
    <w:name w:val="Revision"/>
    <w:hidden/>
    <w:uiPriority w:val="99"/>
    <w:semiHidden/>
    <w:rsid w:val="00490C1C"/>
    <w:rPr>
      <w:rFonts w:ascii="Times New Roman" w:eastAsia="Times New Roman" w:hAnsi="Times New Roman"/>
      <w:sz w:val="24"/>
      <w:szCs w:val="24"/>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E3"/>
    <w:rPr>
      <w:rFonts w:ascii="Times New Roman" w:eastAsia="Times New Roman" w:hAnsi="Times New Roman"/>
      <w:sz w:val="24"/>
      <w:szCs w:val="24"/>
      <w:lang w:val="nl-NL" w:eastAsia="nl-NL"/>
    </w:rPr>
  </w:style>
  <w:style w:type="paragraph" w:styleId="Heading1">
    <w:name w:val="heading 1"/>
    <w:aliases w:val="Scriptie Heading 1"/>
    <w:basedOn w:val="Normal"/>
    <w:next w:val="Normal"/>
    <w:link w:val="Heading1Char"/>
    <w:uiPriority w:val="99"/>
    <w:qFormat/>
    <w:rsid w:val="00821E62"/>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821E6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riptie Heading 1 Char"/>
    <w:basedOn w:val="DefaultParagraphFont"/>
    <w:link w:val="Heading1"/>
    <w:uiPriority w:val="99"/>
    <w:locked/>
    <w:rsid w:val="00821E62"/>
    <w:rPr>
      <w:rFonts w:ascii="Times New Roman" w:hAnsi="Times New Roman" w:cs="Arial"/>
      <w:b/>
      <w:bCs/>
      <w:kern w:val="32"/>
      <w:sz w:val="32"/>
      <w:szCs w:val="32"/>
      <w:lang w:eastAsia="nl-NL"/>
    </w:rPr>
  </w:style>
  <w:style w:type="character" w:customStyle="1" w:styleId="Heading3Char">
    <w:name w:val="Heading 3 Char"/>
    <w:basedOn w:val="DefaultParagraphFont"/>
    <w:link w:val="Heading3"/>
    <w:uiPriority w:val="99"/>
    <w:locked/>
    <w:rsid w:val="00821E62"/>
    <w:rPr>
      <w:rFonts w:ascii="Times New Roman" w:hAnsi="Times New Roman" w:cs="Arial"/>
      <w:b/>
      <w:bCs/>
      <w:sz w:val="26"/>
      <w:szCs w:val="26"/>
      <w:lang w:eastAsia="nl-NL"/>
    </w:rPr>
  </w:style>
  <w:style w:type="paragraph" w:styleId="BalloonText">
    <w:name w:val="Balloon Text"/>
    <w:basedOn w:val="Normal"/>
    <w:link w:val="BalloonTextChar"/>
    <w:uiPriority w:val="99"/>
    <w:semiHidden/>
    <w:rsid w:val="00693B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93B51"/>
    <w:rPr>
      <w:rFonts w:ascii="Lucida Grande" w:hAnsi="Lucida Grande" w:cs="Lucida Grande"/>
      <w:sz w:val="18"/>
      <w:szCs w:val="18"/>
      <w:lang w:eastAsia="nl-NL"/>
    </w:rPr>
  </w:style>
  <w:style w:type="character" w:styleId="FootnoteReference">
    <w:name w:val="footnote reference"/>
    <w:aliases w:val="Appel note de bas de page"/>
    <w:basedOn w:val="DefaultParagraphFont"/>
    <w:uiPriority w:val="99"/>
    <w:rsid w:val="00821E62"/>
    <w:rPr>
      <w:rFonts w:cs="Times New Roman"/>
      <w:vertAlign w:val="superscript"/>
    </w:rPr>
  </w:style>
  <w:style w:type="paragraph" w:styleId="FootnoteText">
    <w:name w:val="footnote text"/>
    <w:aliases w:val="Footnote Text Char Char Char Char,Footnote Text Char Char,Footnote Text Char Char Char Char Char Char,Footnote Text Char Char Char,FA,FA Fußnotentext,Footnote Text Char Char Char Char1,Footnote Text Char1,FA1,FA2,FA3,FA4,Footnotes"/>
    <w:basedOn w:val="Normal"/>
    <w:link w:val="FootnoteTextChar"/>
    <w:uiPriority w:val="99"/>
    <w:rsid w:val="00821E62"/>
    <w:rPr>
      <w:sz w:val="20"/>
      <w:szCs w:val="20"/>
    </w:rPr>
  </w:style>
  <w:style w:type="character" w:customStyle="1" w:styleId="FootnoteTextChar">
    <w:name w:val="Footnote Text Char"/>
    <w:aliases w:val="Footnote Text Char Char Char Char Char,Footnote Text Char Char Char1,Footnote Text Char Char Char Char Char Char Char,Footnote Text Char Char Char Char2,FA Char,FA Fußnotentext Char,Footnote Text Char Char Char Char1 Char,FA1 Char"/>
    <w:basedOn w:val="DefaultParagraphFont"/>
    <w:link w:val="FootnoteText"/>
    <w:uiPriority w:val="99"/>
    <w:locked/>
    <w:rsid w:val="00821E62"/>
    <w:rPr>
      <w:rFonts w:ascii="Times New Roman" w:hAnsi="Times New Roman" w:cs="Times New Roman"/>
      <w:sz w:val="20"/>
      <w:szCs w:val="20"/>
      <w:lang w:eastAsia="nl-NL"/>
    </w:rPr>
  </w:style>
  <w:style w:type="paragraph" w:styleId="NormalWeb">
    <w:name w:val="Normal (Web)"/>
    <w:basedOn w:val="Normal"/>
    <w:uiPriority w:val="99"/>
    <w:semiHidden/>
    <w:rsid w:val="00003759"/>
    <w:pPr>
      <w:spacing w:before="100" w:beforeAutospacing="1" w:after="100" w:afterAutospacing="1"/>
    </w:pPr>
    <w:rPr>
      <w:rFonts w:ascii="Times" w:eastAsia="MS ??" w:hAnsi="Times"/>
      <w:sz w:val="20"/>
      <w:szCs w:val="20"/>
      <w:lang w:val="en-GB" w:eastAsia="en-US"/>
    </w:rPr>
  </w:style>
  <w:style w:type="paragraph" w:customStyle="1" w:styleId="NT-Normal">
    <w:name w:val="NT-Normal"/>
    <w:basedOn w:val="Normal"/>
    <w:uiPriority w:val="99"/>
    <w:rsid w:val="00F95165"/>
    <w:pPr>
      <w:spacing w:before="240" w:line="360" w:lineRule="auto"/>
      <w:jc w:val="both"/>
    </w:pPr>
    <w:rPr>
      <w:rFonts w:ascii="TimesPP" w:hAnsi="TimesPP" w:cs="TimesPP"/>
      <w:color w:val="000000"/>
      <w:lang w:val="en-US" w:eastAsia="en-US"/>
    </w:rPr>
  </w:style>
  <w:style w:type="paragraph" w:customStyle="1" w:styleId="NT-Blockquote">
    <w:name w:val="NT-Blockquote"/>
    <w:basedOn w:val="NT-Normal"/>
    <w:uiPriority w:val="99"/>
    <w:rsid w:val="00F95165"/>
    <w:pPr>
      <w:tabs>
        <w:tab w:val="left" w:pos="7920"/>
      </w:tabs>
      <w:ind w:left="720" w:right="720"/>
    </w:pPr>
  </w:style>
  <w:style w:type="paragraph" w:customStyle="1" w:styleId="NT-Footnote">
    <w:name w:val="NT-Footnote"/>
    <w:basedOn w:val="FootnoteText"/>
    <w:uiPriority w:val="99"/>
    <w:rsid w:val="00F95165"/>
    <w:pPr>
      <w:tabs>
        <w:tab w:val="left" w:pos="993"/>
        <w:tab w:val="left" w:pos="1134"/>
        <w:tab w:val="left" w:pos="1276"/>
      </w:tabs>
    </w:pPr>
    <w:rPr>
      <w:rFonts w:ascii="TimesPP" w:hAnsi="TimesPP" w:cs="TimesPP"/>
      <w:sz w:val="16"/>
      <w:szCs w:val="16"/>
      <w:lang w:val="en-GB" w:eastAsia="en-US"/>
    </w:rPr>
  </w:style>
  <w:style w:type="paragraph" w:styleId="Footer">
    <w:name w:val="footer"/>
    <w:basedOn w:val="Normal"/>
    <w:link w:val="FooterChar"/>
    <w:uiPriority w:val="99"/>
    <w:rsid w:val="00747426"/>
    <w:pPr>
      <w:tabs>
        <w:tab w:val="center" w:pos="4320"/>
        <w:tab w:val="right" w:pos="8640"/>
      </w:tabs>
    </w:pPr>
  </w:style>
  <w:style w:type="character" w:customStyle="1" w:styleId="FooterChar">
    <w:name w:val="Footer Char"/>
    <w:basedOn w:val="DefaultParagraphFont"/>
    <w:link w:val="Footer"/>
    <w:uiPriority w:val="99"/>
    <w:locked/>
    <w:rsid w:val="00747426"/>
    <w:rPr>
      <w:rFonts w:ascii="Times New Roman" w:hAnsi="Times New Roman" w:cs="Times New Roman"/>
      <w:sz w:val="24"/>
      <w:szCs w:val="24"/>
      <w:lang w:eastAsia="nl-NL"/>
    </w:rPr>
  </w:style>
  <w:style w:type="character" w:styleId="PageNumber">
    <w:name w:val="page number"/>
    <w:basedOn w:val="DefaultParagraphFont"/>
    <w:uiPriority w:val="99"/>
    <w:semiHidden/>
    <w:rsid w:val="00747426"/>
    <w:rPr>
      <w:rFonts w:cs="Times New Roman"/>
    </w:rPr>
  </w:style>
  <w:style w:type="paragraph" w:styleId="ListParagraph">
    <w:name w:val="List Paragraph"/>
    <w:basedOn w:val="Normal"/>
    <w:uiPriority w:val="99"/>
    <w:qFormat/>
    <w:rsid w:val="00F73D43"/>
    <w:pPr>
      <w:ind w:left="720"/>
      <w:contextualSpacing/>
    </w:pPr>
    <w:rPr>
      <w:lang w:val="en-GB" w:eastAsia="ja-JP"/>
    </w:rPr>
  </w:style>
  <w:style w:type="character" w:styleId="IntenseReference">
    <w:name w:val="Intense Reference"/>
    <w:basedOn w:val="DefaultParagraphFont"/>
    <w:uiPriority w:val="99"/>
    <w:qFormat/>
    <w:rsid w:val="00F73D43"/>
    <w:rPr>
      <w:rFonts w:cs="Times New Roman"/>
      <w:b/>
      <w:bCs/>
      <w:smallCaps/>
      <w:color w:val="C0504D"/>
      <w:spacing w:val="5"/>
      <w:u w:val="single"/>
    </w:rPr>
  </w:style>
  <w:style w:type="paragraph" w:customStyle="1" w:styleId="Lijstalinea">
    <w:name w:val="Lijstalinea"/>
    <w:basedOn w:val="Normal"/>
    <w:uiPriority w:val="99"/>
    <w:rsid w:val="00F73D43"/>
    <w:pPr>
      <w:ind w:left="720"/>
      <w:contextualSpacing/>
    </w:pPr>
    <w:rPr>
      <w:lang w:val="en-GB"/>
    </w:rPr>
  </w:style>
  <w:style w:type="paragraph" w:customStyle="1" w:styleId="Paragraph">
    <w:name w:val="Paragraph"/>
    <w:basedOn w:val="Normal"/>
    <w:link w:val="ParagraphChar"/>
    <w:uiPriority w:val="99"/>
    <w:rsid w:val="00AD2F80"/>
    <w:pPr>
      <w:spacing w:before="120" w:after="240" w:line="360" w:lineRule="auto"/>
      <w:jc w:val="both"/>
    </w:pPr>
    <w:rPr>
      <w:lang w:val="en-GB" w:eastAsia="ja-JP"/>
    </w:rPr>
  </w:style>
  <w:style w:type="character" w:customStyle="1" w:styleId="ParagraphChar">
    <w:name w:val="Paragraph Char"/>
    <w:basedOn w:val="DefaultParagraphFont"/>
    <w:link w:val="Paragraph"/>
    <w:uiPriority w:val="99"/>
    <w:locked/>
    <w:rsid w:val="00AD2F8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rsid w:val="008E2DD7"/>
    <w:rPr>
      <w:rFonts w:cs="Times New Roman"/>
      <w:sz w:val="16"/>
      <w:szCs w:val="16"/>
    </w:rPr>
  </w:style>
  <w:style w:type="paragraph" w:styleId="CommentText">
    <w:name w:val="annotation text"/>
    <w:basedOn w:val="Normal"/>
    <w:link w:val="CommentTextChar"/>
    <w:uiPriority w:val="99"/>
    <w:semiHidden/>
    <w:rsid w:val="008E2DD7"/>
    <w:rPr>
      <w:sz w:val="20"/>
      <w:szCs w:val="20"/>
    </w:rPr>
  </w:style>
  <w:style w:type="character" w:customStyle="1" w:styleId="CommentTextChar">
    <w:name w:val="Comment Text Char"/>
    <w:basedOn w:val="DefaultParagraphFont"/>
    <w:link w:val="CommentText"/>
    <w:uiPriority w:val="99"/>
    <w:semiHidden/>
    <w:locked/>
    <w:rsid w:val="00057940"/>
    <w:rPr>
      <w:rFonts w:ascii="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rsid w:val="008E2DD7"/>
    <w:rPr>
      <w:b/>
      <w:bCs/>
    </w:rPr>
  </w:style>
  <w:style w:type="character" w:customStyle="1" w:styleId="CommentSubjectChar">
    <w:name w:val="Comment Subject Char"/>
    <w:basedOn w:val="CommentTextChar"/>
    <w:link w:val="CommentSubject"/>
    <w:uiPriority w:val="99"/>
    <w:semiHidden/>
    <w:locked/>
    <w:rsid w:val="00057940"/>
    <w:rPr>
      <w:rFonts w:ascii="Times New Roman" w:hAnsi="Times New Roman" w:cs="Times New Roman"/>
      <w:b/>
      <w:bCs/>
      <w:sz w:val="20"/>
      <w:szCs w:val="20"/>
      <w:lang w:val="nl-NL" w:eastAsia="nl-NL"/>
    </w:rPr>
  </w:style>
  <w:style w:type="character" w:styleId="Hyperlink">
    <w:name w:val="Hyperlink"/>
    <w:basedOn w:val="DefaultParagraphFont"/>
    <w:uiPriority w:val="99"/>
    <w:rsid w:val="00C43744"/>
    <w:rPr>
      <w:rFonts w:cs="Times New Roman"/>
      <w:color w:val="0000FF"/>
      <w:u w:val="single"/>
    </w:rPr>
  </w:style>
  <w:style w:type="character" w:styleId="FollowedHyperlink">
    <w:name w:val="FollowedHyperlink"/>
    <w:basedOn w:val="DefaultParagraphFont"/>
    <w:uiPriority w:val="99"/>
    <w:semiHidden/>
    <w:rsid w:val="00250C20"/>
    <w:rPr>
      <w:rFonts w:cs="Times New Roman"/>
      <w:color w:val="800080"/>
      <w:u w:val="single"/>
    </w:rPr>
  </w:style>
  <w:style w:type="paragraph" w:styleId="Revision">
    <w:name w:val="Revision"/>
    <w:hidden/>
    <w:uiPriority w:val="99"/>
    <w:semiHidden/>
    <w:rsid w:val="00490C1C"/>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cty.org/x/cases/karadzic/ind/en/markedup_indictment_091019.pdf" TargetMode="External"/><Relationship Id="rId12" Type="http://schemas.openxmlformats.org/officeDocument/2006/relationships/hyperlink" Target="http://www.icty.org/x/cases/popovic/ind/en/popovic-060804.pdf" TargetMode="External"/><Relationship Id="rId13" Type="http://schemas.openxmlformats.org/officeDocument/2006/relationships/hyperlink" Target="http://www.icty.org/x/cases/slobodan_milosevic/ind/en/mil-2ai020728e.htm" TargetMode="External"/><Relationship Id="rId14" Type="http://schemas.openxmlformats.org/officeDocument/2006/relationships/hyperlink" Target="http://www.icty.org/x/cases/slobodan_milosevic/ind/en/mil-ai040421-e.htm" TargetMode="External"/><Relationship Id="rId15" Type="http://schemas.openxmlformats.org/officeDocument/2006/relationships/hyperlink" Target="http://www.icty.org/x/cases/stanisic_simatovic/ind/en/staj-in3rdamd080710.pdf"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gresham.ac.uk/lectures-and-events/war-crimes-courts-that-reconcile-oxymoron-or-possibility" TargetMode="External"/><Relationship Id="rId10" Type="http://schemas.openxmlformats.org/officeDocument/2006/relationships/hyperlink" Target="http://daccess-dds-ny.un.org/doc/UNDOC/GEN/N93/098/21/IMG/N9309821.pdf?OpenEl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cty.org/x/cases/slobodan_milosevic/ind/en/mil-2ai020728e.htm" TargetMode="External"/><Relationship Id="rId4" Type="http://schemas.openxmlformats.org/officeDocument/2006/relationships/hyperlink" Target="http://www.icty.org/x/cases/slobodan_milosevic/ind/en/mil-ai040421-e.htm" TargetMode="External"/><Relationship Id="rId5" Type="http://schemas.openxmlformats.org/officeDocument/2006/relationships/hyperlink" Target="http://www.icty.org/x/cases/stanisic_simatovic/ind/en/staj-in3rdamd080710.pdf" TargetMode="External"/><Relationship Id="rId1" Type="http://schemas.openxmlformats.org/officeDocument/2006/relationships/hyperlink" Target="http://www.icty.org/x/cases/karadzic/ind/en/markedup_indictment_091019.pdf" TargetMode="External"/><Relationship Id="rId2" Type="http://schemas.openxmlformats.org/officeDocument/2006/relationships/hyperlink" Target="http://www.icty.org/x/cases/popovic/ind/en/popovic-0608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4682</Words>
  <Characters>26688</Characters>
  <Application>Microsoft Macintosh Word</Application>
  <DocSecurity>0</DocSecurity>
  <Lines>222</Lines>
  <Paragraphs>62</Paragraphs>
  <ScaleCrop>false</ScaleCrop>
  <Company/>
  <LinksUpToDate>false</LinksUpToDate>
  <CharactersWithSpaces>31308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Nena Tromp</dc:creator>
  <cp:keywords/>
  <dc:description/>
  <cp:lastModifiedBy>Nena Tromp</cp:lastModifiedBy>
  <cp:revision>2</cp:revision>
  <dcterms:created xsi:type="dcterms:W3CDTF">2013-06-03T19:15:00Z</dcterms:created>
  <dcterms:modified xsi:type="dcterms:W3CDTF">2013-06-03T19:15:00Z</dcterms:modified>
</cp:coreProperties>
</file>