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16"/>
      </w:tblGrid>
      <w:tr w:rsidR="001C78DC" w:rsidRPr="001C78DC">
        <w:trPr>
          <w:tblCellSpacing w:w="15" w:type="dxa"/>
        </w:trPr>
        <w:tc>
          <w:tcPr>
            <w:tcW w:w="0" w:type="auto"/>
            <w:vAlign w:val="center"/>
            <w:hideMark/>
          </w:tcPr>
          <w:p w:rsidR="001C78DC" w:rsidRPr="001C78DC" w:rsidRDefault="001C78DC" w:rsidP="001C78DC">
            <w:pPr>
              <w:spacing w:after="0"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European Commission - Press release</w:t>
            </w:r>
          </w:p>
        </w:tc>
        <w:bookmarkStart w:id="0" w:name="_GoBack"/>
        <w:bookmarkEnd w:id="0"/>
      </w:tr>
    </w:tbl>
    <w:p w:rsidR="001C78DC" w:rsidRPr="001C78DC" w:rsidRDefault="001C78DC" w:rsidP="001C78DC">
      <w:pPr>
        <w:spacing w:before="240" w:after="60" w:line="240" w:lineRule="auto"/>
        <w:jc w:val="center"/>
        <w:outlineLvl w:val="0"/>
        <w:rPr>
          <w:rFonts w:ascii="Arial" w:eastAsia="Times New Roman" w:hAnsi="Arial" w:cs="Arial"/>
          <w:b/>
          <w:bCs/>
          <w:color w:val="284F75"/>
          <w:kern w:val="36"/>
          <w:sz w:val="32"/>
          <w:szCs w:val="32"/>
        </w:rPr>
      </w:pPr>
      <w:r w:rsidRPr="001C78DC">
        <w:rPr>
          <w:rFonts w:ascii="Arial" w:eastAsia="Times New Roman" w:hAnsi="Arial" w:cs="Arial"/>
          <w:b/>
          <w:bCs/>
          <w:color w:val="284F75"/>
          <w:kern w:val="36"/>
          <w:sz w:val="32"/>
          <w:szCs w:val="32"/>
        </w:rPr>
        <w:t>Refugee Crisis: European Commission takes decisive action</w:t>
      </w:r>
    </w:p>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Strasbourg, 9 September 2015</w:t>
      </w:r>
    </w:p>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Delivering on the European Agenda on Migration from May, the European Commission is today putting forward a comprehensive package of proposals which will help address the refugee crisis.</w:t>
      </w:r>
    </w:p>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 xml:space="preserve">Delivering on the </w:t>
      </w:r>
      <w:hyperlink r:id="rId6" w:history="1">
        <w:r w:rsidRPr="001C78DC">
          <w:rPr>
            <w:rFonts w:ascii="Verdana" w:eastAsia="Times New Roman" w:hAnsi="Verdana" w:cs="Times New Roman"/>
            <w:color w:val="0000FF"/>
            <w:sz w:val="24"/>
            <w:szCs w:val="24"/>
          </w:rPr>
          <w:t>European Agenda on Migration</w:t>
        </w:r>
      </w:hyperlink>
      <w:r w:rsidRPr="001C78DC">
        <w:rPr>
          <w:rFonts w:ascii="Times New Roman" w:eastAsia="Times New Roman" w:hAnsi="Times New Roman" w:cs="Times New Roman"/>
          <w:sz w:val="24"/>
          <w:szCs w:val="24"/>
        </w:rPr>
        <w:t xml:space="preserve"> from May, the European Commission is today putting forward a comprehensive package of proposals which will help address the refugee crisis that EU Member States and neighbouring countries are facing, including by tackling the root causes making people seek refuge in Europe. The new set of measures will alleviate pressure from Member States most affected – notably </w:t>
      </w:r>
      <w:r w:rsidRPr="001C78DC">
        <w:rPr>
          <w:rFonts w:ascii="Times New Roman" w:eastAsia="Times New Roman" w:hAnsi="Times New Roman" w:cs="Times New Roman"/>
          <w:b/>
          <w:bCs/>
          <w:sz w:val="24"/>
          <w:szCs w:val="24"/>
        </w:rPr>
        <w:t>Greece, Italy and Hungary</w:t>
      </w:r>
      <w:r w:rsidRPr="001C78DC">
        <w:rPr>
          <w:rFonts w:ascii="Times New Roman" w:eastAsia="Times New Roman" w:hAnsi="Times New Roman" w:cs="Times New Roman"/>
          <w:sz w:val="24"/>
          <w:szCs w:val="24"/>
        </w:rPr>
        <w:t xml:space="preserve"> – by proposing to </w:t>
      </w:r>
      <w:r w:rsidRPr="001C78DC">
        <w:rPr>
          <w:rFonts w:ascii="Times New Roman" w:eastAsia="Times New Roman" w:hAnsi="Times New Roman" w:cs="Times New Roman"/>
          <w:b/>
          <w:bCs/>
          <w:sz w:val="24"/>
          <w:szCs w:val="24"/>
        </w:rPr>
        <w:t>relocate 120,000 people in clear need of international protection</w:t>
      </w:r>
      <w:r w:rsidRPr="001C78DC">
        <w:rPr>
          <w:rFonts w:ascii="Times New Roman" w:eastAsia="Times New Roman" w:hAnsi="Times New Roman" w:cs="Times New Roman"/>
          <w:sz w:val="24"/>
          <w:szCs w:val="24"/>
        </w:rPr>
        <w:t xml:space="preserve"> to other EU Member States. This number will be on top of the 40,000 that the Commission proposed in May to relocate from Greece and Italy and for which the decision by the Council is still to be adopted. Today's measures will also help those Member States faced with a growing number of asylum applications by enabling a swifter processing of asylum applications though </w:t>
      </w:r>
      <w:r w:rsidRPr="001C78DC">
        <w:rPr>
          <w:rFonts w:ascii="Times New Roman" w:eastAsia="Times New Roman" w:hAnsi="Times New Roman" w:cs="Times New Roman"/>
          <w:b/>
          <w:bCs/>
          <w:sz w:val="24"/>
          <w:szCs w:val="24"/>
        </w:rPr>
        <w:t>a common European list of safe countries of origin</w:t>
      </w:r>
      <w:r w:rsidRPr="001C78DC">
        <w:rPr>
          <w:rFonts w:ascii="Times New Roman" w:eastAsia="Times New Roman" w:hAnsi="Times New Roman" w:cs="Times New Roman"/>
          <w:sz w:val="24"/>
          <w:szCs w:val="24"/>
        </w:rPr>
        <w:t xml:space="preserve">. The Commission has today outlined the main actions for </w:t>
      </w:r>
      <w:r w:rsidRPr="001C78DC">
        <w:rPr>
          <w:rFonts w:ascii="Times New Roman" w:eastAsia="Times New Roman" w:hAnsi="Times New Roman" w:cs="Times New Roman"/>
          <w:b/>
          <w:bCs/>
          <w:sz w:val="24"/>
          <w:szCs w:val="24"/>
        </w:rPr>
        <w:t>making return policy more effective</w:t>
      </w:r>
      <w:r w:rsidRPr="001C78DC">
        <w:rPr>
          <w:rFonts w:ascii="Times New Roman" w:eastAsia="Times New Roman" w:hAnsi="Times New Roman" w:cs="Times New Roman"/>
          <w:sz w:val="24"/>
          <w:szCs w:val="24"/>
        </w:rPr>
        <w:t xml:space="preserve"> and has proposed </w:t>
      </w:r>
      <w:r w:rsidRPr="001C78DC">
        <w:rPr>
          <w:rFonts w:ascii="Times New Roman" w:eastAsia="Times New Roman" w:hAnsi="Times New Roman" w:cs="Times New Roman"/>
          <w:b/>
          <w:bCs/>
          <w:sz w:val="24"/>
          <w:szCs w:val="24"/>
        </w:rPr>
        <w:t>a €1.8 billion Trust Fund</w:t>
      </w:r>
      <w:r w:rsidRPr="001C78DC">
        <w:rPr>
          <w:rFonts w:ascii="Times New Roman" w:eastAsia="Times New Roman" w:hAnsi="Times New Roman" w:cs="Times New Roman"/>
          <w:sz w:val="24"/>
          <w:szCs w:val="24"/>
        </w:rPr>
        <w:t xml:space="preserve"> to help tackle the root causes for migration in Africa. Finally, the Commission and the EU external action service are also </w:t>
      </w:r>
      <w:r w:rsidRPr="001C78DC">
        <w:rPr>
          <w:rFonts w:ascii="Times New Roman" w:eastAsia="Times New Roman" w:hAnsi="Times New Roman" w:cs="Times New Roman"/>
          <w:b/>
          <w:bCs/>
          <w:sz w:val="24"/>
          <w:szCs w:val="24"/>
        </w:rPr>
        <w:t>addressing the 'external dimension' of the refugee crisis</w:t>
      </w:r>
      <w:r w:rsidRPr="001C78DC">
        <w:rPr>
          <w:rFonts w:ascii="Times New Roman" w:eastAsia="Times New Roman" w:hAnsi="Times New Roman" w:cs="Times New Roman"/>
          <w:sz w:val="24"/>
          <w:szCs w:val="24"/>
        </w:rPr>
        <w:t>.</w:t>
      </w:r>
    </w:p>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 xml:space="preserve">European Commission President </w:t>
      </w:r>
      <w:r w:rsidRPr="001C78DC">
        <w:rPr>
          <w:rFonts w:ascii="Times New Roman" w:eastAsia="Times New Roman" w:hAnsi="Times New Roman" w:cs="Times New Roman"/>
          <w:b/>
          <w:bCs/>
          <w:sz w:val="24"/>
          <w:szCs w:val="24"/>
        </w:rPr>
        <w:t xml:space="preserve">Jean-Claude Juncker </w:t>
      </w:r>
      <w:r w:rsidRPr="001C78DC">
        <w:rPr>
          <w:rFonts w:ascii="Times New Roman" w:eastAsia="Times New Roman" w:hAnsi="Times New Roman" w:cs="Times New Roman"/>
          <w:sz w:val="24"/>
          <w:szCs w:val="24"/>
        </w:rPr>
        <w:t>said: "</w:t>
      </w:r>
      <w:r w:rsidRPr="001C78DC">
        <w:rPr>
          <w:rFonts w:ascii="Times New Roman" w:eastAsia="Times New Roman" w:hAnsi="Times New Roman" w:cs="Times New Roman"/>
          <w:i/>
          <w:iCs/>
          <w:sz w:val="24"/>
          <w:szCs w:val="24"/>
        </w:rPr>
        <w:t>We Europeans should know and should never forget why giving refuge and complying with the fundamental right to asylum is so important. It is time we started putting in place the building blocks of a truly European migration policy, as we called for back in May. The measures we are proposing today will ensure that people in clear need of international protection are relocated swiftly after arriving – not just now but also for any crisis in the future. If ever European solidarity needed to manifest itself, it is on the question of the refugee crisis. It is time to show collective courage and deliver this European response now.”</w:t>
      </w:r>
    </w:p>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Today, the European Commission has presented the following concrete measures to respond to the current refugee crisis and to prepare for future challenges:</w:t>
      </w:r>
    </w:p>
    <w:p w:rsidR="001C78DC" w:rsidRPr="001C78DC" w:rsidRDefault="001C78DC" w:rsidP="001C78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An emergency relocation proposal for 120,000 refugees from Greece, Hungary and Italy</w:t>
      </w:r>
      <w:r w:rsidRPr="001C78DC">
        <w:rPr>
          <w:rFonts w:ascii="Times New Roman" w:eastAsia="Times New Roman" w:hAnsi="Times New Roman" w:cs="Times New Roman"/>
          <w:sz w:val="24"/>
          <w:szCs w:val="24"/>
        </w:rPr>
        <w:t xml:space="preserve">: following the sharp increase in illegal border crossings in the Central and Eastern Mediterranean, but also on the Western Balkans route, over the last few months, urgent action is needed. The Commission proposes to relocate 120,000 people in clear need of international protection from </w:t>
      </w:r>
      <w:r w:rsidRPr="001C78DC">
        <w:rPr>
          <w:rFonts w:ascii="Times New Roman" w:eastAsia="Times New Roman" w:hAnsi="Times New Roman" w:cs="Times New Roman"/>
          <w:b/>
          <w:bCs/>
          <w:sz w:val="24"/>
          <w:szCs w:val="24"/>
        </w:rPr>
        <w:t>Italy</w:t>
      </w:r>
      <w:r w:rsidRPr="001C78DC">
        <w:rPr>
          <w:rFonts w:ascii="Times New Roman" w:eastAsia="Times New Roman" w:hAnsi="Times New Roman" w:cs="Times New Roman"/>
          <w:sz w:val="24"/>
          <w:szCs w:val="24"/>
        </w:rPr>
        <w:t xml:space="preserve"> (15,600), </w:t>
      </w:r>
      <w:r w:rsidRPr="001C78DC">
        <w:rPr>
          <w:rFonts w:ascii="Times New Roman" w:eastAsia="Times New Roman" w:hAnsi="Times New Roman" w:cs="Times New Roman"/>
          <w:b/>
          <w:bCs/>
          <w:sz w:val="24"/>
          <w:szCs w:val="24"/>
        </w:rPr>
        <w:t>Greece</w:t>
      </w:r>
      <w:r w:rsidRPr="001C78DC">
        <w:rPr>
          <w:rFonts w:ascii="Times New Roman" w:eastAsia="Times New Roman" w:hAnsi="Times New Roman" w:cs="Times New Roman"/>
          <w:sz w:val="24"/>
          <w:szCs w:val="24"/>
        </w:rPr>
        <w:t xml:space="preserve"> (50,400) and </w:t>
      </w:r>
      <w:r w:rsidRPr="001C78DC">
        <w:rPr>
          <w:rFonts w:ascii="Times New Roman" w:eastAsia="Times New Roman" w:hAnsi="Times New Roman" w:cs="Times New Roman"/>
          <w:b/>
          <w:bCs/>
          <w:sz w:val="24"/>
          <w:szCs w:val="24"/>
        </w:rPr>
        <w:t>Hungary</w:t>
      </w:r>
      <w:r w:rsidRPr="001C78DC">
        <w:rPr>
          <w:rFonts w:ascii="Times New Roman" w:eastAsia="Times New Roman" w:hAnsi="Times New Roman" w:cs="Times New Roman"/>
          <w:sz w:val="24"/>
          <w:szCs w:val="24"/>
        </w:rPr>
        <w:t xml:space="preserve"> (54,000). The relocation would be done according to a mandatory distribution key using objective and quantifiable criteria (40% of the size of the population, 40% of the GDP, 10% of the average number of past asylum applications, 10% of the unemployment rate). It applies to nationalities of applicants with an EU-wide average recognition rate of 75% or higher</w:t>
      </w:r>
      <w:bookmarkStart w:id="1" w:name="_ftnref1"/>
      <w:r w:rsidRPr="001C78DC">
        <w:rPr>
          <w:rFonts w:ascii="Times New Roman" w:eastAsia="Times New Roman" w:hAnsi="Times New Roman" w:cs="Times New Roman"/>
          <w:sz w:val="24"/>
          <w:szCs w:val="24"/>
        </w:rPr>
        <w:fldChar w:fldCharType="begin"/>
      </w:r>
      <w:r w:rsidRPr="001C78DC">
        <w:rPr>
          <w:rFonts w:ascii="Times New Roman" w:eastAsia="Times New Roman" w:hAnsi="Times New Roman" w:cs="Times New Roman"/>
          <w:sz w:val="24"/>
          <w:szCs w:val="24"/>
        </w:rPr>
        <w:instrText xml:space="preserve"> HYPERLINK "http://europa.eu/rapid/press-release_IP-15-5596_en.htm" \l "_ftn1" </w:instrText>
      </w:r>
      <w:r w:rsidRPr="001C78DC">
        <w:rPr>
          <w:rFonts w:ascii="Times New Roman" w:eastAsia="Times New Roman" w:hAnsi="Times New Roman" w:cs="Times New Roman"/>
          <w:sz w:val="24"/>
          <w:szCs w:val="24"/>
        </w:rPr>
        <w:fldChar w:fldCharType="separate"/>
      </w:r>
      <w:r w:rsidRPr="001C78DC">
        <w:rPr>
          <w:rFonts w:ascii="Verdana" w:eastAsia="Times New Roman" w:hAnsi="Verdana" w:cs="Times New Roman"/>
          <w:color w:val="0000FF"/>
          <w:sz w:val="24"/>
          <w:szCs w:val="24"/>
        </w:rPr>
        <w:t>[1]</w:t>
      </w:r>
      <w:r w:rsidRPr="001C78DC">
        <w:rPr>
          <w:rFonts w:ascii="Times New Roman" w:eastAsia="Times New Roman" w:hAnsi="Times New Roman" w:cs="Times New Roman"/>
          <w:sz w:val="24"/>
          <w:szCs w:val="24"/>
        </w:rPr>
        <w:fldChar w:fldCharType="end"/>
      </w:r>
      <w:bookmarkEnd w:id="1"/>
      <w:r w:rsidRPr="001C78DC">
        <w:rPr>
          <w:rFonts w:ascii="Times New Roman" w:eastAsia="Times New Roman" w:hAnsi="Times New Roman" w:cs="Times New Roman"/>
          <w:sz w:val="24"/>
          <w:szCs w:val="24"/>
        </w:rPr>
        <w:t xml:space="preserve">. This comes in addition to the Commission’s </w:t>
      </w:r>
      <w:hyperlink r:id="rId7" w:history="1">
        <w:r w:rsidRPr="001C78DC">
          <w:rPr>
            <w:rFonts w:ascii="Verdana" w:eastAsia="Times New Roman" w:hAnsi="Verdana" w:cs="Times New Roman"/>
            <w:color w:val="0000FF"/>
            <w:sz w:val="24"/>
            <w:szCs w:val="24"/>
          </w:rPr>
          <w:t xml:space="preserve">proposal from May to </w:t>
        </w:r>
        <w:r w:rsidRPr="001C78DC">
          <w:rPr>
            <w:rFonts w:ascii="Verdana" w:eastAsia="Times New Roman" w:hAnsi="Verdana" w:cs="Times New Roman"/>
            <w:color w:val="0000FF"/>
            <w:sz w:val="24"/>
            <w:szCs w:val="24"/>
          </w:rPr>
          <w:lastRenderedPageBreak/>
          <w:t>relocate 40.000 people</w:t>
        </w:r>
      </w:hyperlink>
      <w:r w:rsidRPr="001C78DC">
        <w:rPr>
          <w:rFonts w:ascii="Times New Roman" w:eastAsia="Times New Roman" w:hAnsi="Times New Roman" w:cs="Times New Roman"/>
          <w:sz w:val="24"/>
          <w:szCs w:val="24"/>
        </w:rPr>
        <w:t xml:space="preserve"> in clear need of international protection from Italy and Greece to other EU Member States, thus bringing the total proposed number up to 160,000. The relocation will be accompanied by €780 million EU budget support for participating Member States, including a 50% pre-financing rate to ensure that governments on national, regional and local level have the means to act very swiftly.</w:t>
      </w:r>
      <w:r w:rsidRPr="001C78DC">
        <w:rPr>
          <w:rFonts w:ascii="Times New Roman" w:eastAsia="Times New Roman" w:hAnsi="Times New Roman" w:cs="Times New Roman"/>
          <w:sz w:val="24"/>
          <w:szCs w:val="24"/>
        </w:rPr>
        <w:br/>
      </w:r>
      <w:r w:rsidRPr="001C78DC">
        <w:rPr>
          <w:rFonts w:ascii="Times New Roman" w:eastAsia="Times New Roman" w:hAnsi="Times New Roman" w:cs="Times New Roman"/>
          <w:b/>
          <w:bCs/>
          <w:sz w:val="24"/>
          <w:szCs w:val="24"/>
        </w:rPr>
        <w:t>A temporary solidarity clause</w:t>
      </w:r>
      <w:r w:rsidRPr="001C78DC">
        <w:rPr>
          <w:rFonts w:ascii="Times New Roman" w:eastAsia="Times New Roman" w:hAnsi="Times New Roman" w:cs="Times New Roman"/>
          <w:sz w:val="24"/>
          <w:szCs w:val="24"/>
        </w:rPr>
        <w:t>: If – for justified and objective reasons such as a natural disaster – a Member State cannot temporarily participate totally or in part in a relocation decision, it will have to make a financial contribution to the EU budget of an amount of 0.002% of its GDP. The European Commission will analyse the reasons notified by the country and take a decision on whether or not they justify the non-participation of a country in the scheme for a maximum of up to 12 months. In case of partial participation in the relocation, the amount will be reduced in proportion.</w:t>
      </w:r>
    </w:p>
    <w:p w:rsidR="001C78DC" w:rsidRPr="001C78DC" w:rsidRDefault="001C78DC" w:rsidP="001C78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 xml:space="preserve">A Permanent Relocation Mechanism for all Member States: </w:t>
      </w:r>
      <w:r w:rsidRPr="001C78DC">
        <w:rPr>
          <w:rFonts w:ascii="Times New Roman" w:eastAsia="Times New Roman" w:hAnsi="Times New Roman" w:cs="Times New Roman"/>
          <w:sz w:val="24"/>
          <w:szCs w:val="24"/>
        </w:rPr>
        <w:t xml:space="preserve">As announced in the European Agenda on Migration, the Commission is proposing a structured solidarity mechanism which can be triggered any time by the Commission to help any EU-Member State experiencing a crisis situation and extreme pressure on its asylum system as a result of a large and disproportionate inflow of third country nationals. Such future emergency situations would be defined by the Commission based on the number of asylum applications in the last 6 months, per capita as well as the number of irregular border crossings in the last 6 months. The same objective and verifiable distribution criteria will apply as in the emergency relocation proposals. The permanent mechanism will also take into account asylum seekers’ needs, family situation and skills. The </w:t>
      </w:r>
      <w:r w:rsidRPr="001C78DC">
        <w:rPr>
          <w:rFonts w:ascii="Times New Roman" w:eastAsia="Times New Roman" w:hAnsi="Times New Roman" w:cs="Times New Roman"/>
          <w:b/>
          <w:bCs/>
          <w:sz w:val="24"/>
          <w:szCs w:val="24"/>
        </w:rPr>
        <w:t>temporary solidarity clause</w:t>
      </w:r>
      <w:r w:rsidRPr="001C78DC">
        <w:rPr>
          <w:rFonts w:ascii="Times New Roman" w:eastAsia="Times New Roman" w:hAnsi="Times New Roman" w:cs="Times New Roman"/>
          <w:sz w:val="24"/>
          <w:szCs w:val="24"/>
        </w:rPr>
        <w:t xml:space="preserve"> will also apply here.</w:t>
      </w:r>
    </w:p>
    <w:p w:rsidR="001C78DC" w:rsidRPr="001C78DC" w:rsidRDefault="001C78DC" w:rsidP="001C78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A common European list of Safe Countries of Origin</w:t>
      </w:r>
      <w:r w:rsidRPr="001C78DC">
        <w:rPr>
          <w:rFonts w:ascii="Times New Roman" w:eastAsia="Times New Roman" w:hAnsi="Times New Roman" w:cs="Times New Roman"/>
          <w:sz w:val="24"/>
          <w:szCs w:val="24"/>
        </w:rPr>
        <w:t xml:space="preserve">: following up on the European Agenda on Migration and the </w:t>
      </w:r>
      <w:hyperlink r:id="rId8" w:history="1">
        <w:r w:rsidRPr="001C78DC">
          <w:rPr>
            <w:rFonts w:ascii="Verdana" w:eastAsia="Times New Roman" w:hAnsi="Verdana" w:cs="Times New Roman"/>
            <w:color w:val="0000FF"/>
            <w:sz w:val="24"/>
            <w:szCs w:val="24"/>
          </w:rPr>
          <w:t>European Council Conclusions of 25-26 June</w:t>
        </w:r>
      </w:hyperlink>
      <w:r w:rsidRPr="001C78DC">
        <w:rPr>
          <w:rFonts w:ascii="Times New Roman" w:eastAsia="Times New Roman" w:hAnsi="Times New Roman" w:cs="Times New Roman"/>
          <w:sz w:val="24"/>
          <w:szCs w:val="24"/>
        </w:rPr>
        <w:t xml:space="preserve">, the European Commission is proposing a Regulation to establish an EU common list of safe countries of origin. Such a European list will allow for swifter processing of individual asylum applications from candidates originating from countries considered to be safe across the EU, and for faster returns if the individual assessments of the applications confirm no right of asylum. Following discussions with and current practices by Member States, the Commission proposes to add </w:t>
      </w:r>
      <w:r w:rsidRPr="001C78DC">
        <w:rPr>
          <w:rFonts w:ascii="Times New Roman" w:eastAsia="Times New Roman" w:hAnsi="Times New Roman" w:cs="Times New Roman"/>
          <w:b/>
          <w:bCs/>
          <w:sz w:val="24"/>
          <w:szCs w:val="24"/>
        </w:rPr>
        <w:t xml:space="preserve">Albania, Bosnia and Herzegovina, the former Yugoslav Republic of Macedonia, Kosovo, Montenegro, Serbia </w:t>
      </w:r>
      <w:r w:rsidRPr="001C78DC">
        <w:rPr>
          <w:rFonts w:ascii="Times New Roman" w:eastAsia="Times New Roman" w:hAnsi="Times New Roman" w:cs="Times New Roman"/>
          <w:sz w:val="24"/>
          <w:szCs w:val="24"/>
        </w:rPr>
        <w:t>and</w:t>
      </w:r>
      <w:r w:rsidRPr="001C78DC">
        <w:rPr>
          <w:rFonts w:ascii="Times New Roman" w:eastAsia="Times New Roman" w:hAnsi="Times New Roman" w:cs="Times New Roman"/>
          <w:b/>
          <w:bCs/>
          <w:sz w:val="24"/>
          <w:szCs w:val="24"/>
        </w:rPr>
        <w:t xml:space="preserve"> Turkey</w:t>
      </w:r>
      <w:r w:rsidRPr="001C78DC">
        <w:rPr>
          <w:rFonts w:ascii="Times New Roman" w:eastAsia="Times New Roman" w:hAnsi="Times New Roman" w:cs="Times New Roman"/>
          <w:sz w:val="24"/>
          <w:szCs w:val="24"/>
        </w:rPr>
        <w:t xml:space="preserve"> to the EU list of safe countries of origin. These countries fulfil the common criteria of the </w:t>
      </w:r>
      <w:hyperlink r:id="rId9" w:history="1">
        <w:r w:rsidRPr="001C78DC">
          <w:rPr>
            <w:rFonts w:ascii="Verdana" w:eastAsia="Times New Roman" w:hAnsi="Verdana" w:cs="Times New Roman"/>
            <w:color w:val="0000FF"/>
            <w:sz w:val="24"/>
            <w:szCs w:val="24"/>
          </w:rPr>
          <w:t>Asylum Procedures Directive 2013/32</w:t>
        </w:r>
      </w:hyperlink>
      <w:r w:rsidRPr="001C78DC">
        <w:rPr>
          <w:rFonts w:ascii="Times New Roman" w:eastAsia="Times New Roman" w:hAnsi="Times New Roman" w:cs="Times New Roman"/>
          <w:sz w:val="24"/>
          <w:szCs w:val="24"/>
        </w:rPr>
        <w:t xml:space="preserve"> for a country to be considered safe; they are members to major international human rights Treaties; and the majority have been designated as a candidate country by the European Council, fulfilling the so-called “Copenhagen criteria“ (guaranteeing democracy, the rule of law, human rights and respect for and protection of minorities). Other countries can be added in future following a thorough assessment by the European Commission.</w:t>
      </w:r>
    </w:p>
    <w:p w:rsidR="001C78DC" w:rsidRPr="001C78DC" w:rsidRDefault="001C78DC" w:rsidP="001C78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 xml:space="preserve">Making return policy more effective: </w:t>
      </w:r>
      <w:r w:rsidRPr="001C78DC">
        <w:rPr>
          <w:rFonts w:ascii="Times New Roman" w:eastAsia="Times New Roman" w:hAnsi="Times New Roman" w:cs="Times New Roman"/>
          <w:sz w:val="24"/>
          <w:szCs w:val="24"/>
        </w:rPr>
        <w:t xml:space="preserve">to improve the return policies of Member States, the Commission has issued a </w:t>
      </w:r>
      <w:r w:rsidRPr="001C78DC">
        <w:rPr>
          <w:rFonts w:ascii="Times New Roman" w:eastAsia="Times New Roman" w:hAnsi="Times New Roman" w:cs="Times New Roman"/>
          <w:b/>
          <w:bCs/>
          <w:sz w:val="24"/>
          <w:szCs w:val="24"/>
        </w:rPr>
        <w:t>common Return Handbook</w:t>
      </w:r>
      <w:r w:rsidRPr="001C78DC">
        <w:rPr>
          <w:rFonts w:ascii="Times New Roman" w:eastAsia="Times New Roman" w:hAnsi="Times New Roman" w:cs="Times New Roman"/>
          <w:sz w:val="24"/>
          <w:szCs w:val="24"/>
        </w:rPr>
        <w:t xml:space="preserve"> and an </w:t>
      </w:r>
      <w:r w:rsidRPr="001C78DC">
        <w:rPr>
          <w:rFonts w:ascii="Times New Roman" w:eastAsia="Times New Roman" w:hAnsi="Times New Roman" w:cs="Times New Roman"/>
          <w:b/>
          <w:bCs/>
          <w:sz w:val="24"/>
          <w:szCs w:val="24"/>
        </w:rPr>
        <w:t>EU Action Plan on Return</w:t>
      </w:r>
      <w:r w:rsidRPr="001C78DC">
        <w:rPr>
          <w:rFonts w:ascii="Times New Roman" w:eastAsia="Times New Roman" w:hAnsi="Times New Roman" w:cs="Times New Roman"/>
          <w:sz w:val="24"/>
          <w:szCs w:val="24"/>
        </w:rPr>
        <w:t xml:space="preserve">. The Commission has presented an EU Action Plan on Return which defines the immediate and mid-term measures to be taken by Member States to enhance voluntary return, to strengthen the implementation of the Return Directive, to improve information sharing, to strengthen the role and mandate of Frontex in return operations, and to create an integrated system of return management. In parallel, the Commission has adopted a </w:t>
      </w:r>
      <w:r w:rsidRPr="001C78DC">
        <w:rPr>
          <w:rFonts w:ascii="Times New Roman" w:eastAsia="Times New Roman" w:hAnsi="Times New Roman" w:cs="Times New Roman"/>
          <w:sz w:val="24"/>
          <w:szCs w:val="24"/>
        </w:rPr>
        <w:lastRenderedPageBreak/>
        <w:t xml:space="preserve">Return Handbook which offers national competent authorities practical instructions when carrying out returns of those migrants who do not have the right to stay in the European Union. It will serve as the main training tool in standards and procedures for experts applying the </w:t>
      </w:r>
      <w:hyperlink r:id="rId10" w:history="1">
        <w:r w:rsidRPr="001C78DC">
          <w:rPr>
            <w:rFonts w:ascii="Verdana" w:eastAsia="Times New Roman" w:hAnsi="Verdana" w:cs="Times New Roman"/>
            <w:color w:val="0000FF"/>
            <w:sz w:val="24"/>
            <w:szCs w:val="24"/>
          </w:rPr>
          <w:t>Return Directive 2008/115</w:t>
        </w:r>
      </w:hyperlink>
      <w:r w:rsidRPr="001C78DC">
        <w:rPr>
          <w:rFonts w:ascii="Times New Roman" w:eastAsia="Times New Roman" w:hAnsi="Times New Roman" w:cs="Times New Roman"/>
          <w:sz w:val="24"/>
          <w:szCs w:val="24"/>
        </w:rPr>
        <w:t>.</w:t>
      </w:r>
    </w:p>
    <w:p w:rsidR="001C78DC" w:rsidRPr="001C78DC" w:rsidRDefault="001C78DC" w:rsidP="001C78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Communication on Public Procurement rules for Refugee Support Measures</w:t>
      </w:r>
      <w:r w:rsidRPr="001C78DC">
        <w:rPr>
          <w:rFonts w:ascii="Times New Roman" w:eastAsia="Times New Roman" w:hAnsi="Times New Roman" w:cs="Times New Roman"/>
          <w:sz w:val="24"/>
          <w:szCs w:val="24"/>
        </w:rPr>
        <w:t>: Member States have to satisfy adequately and speedily the most immediate needs of asylum seekers for housing, supplies and services. Today's Communication provides guidance for national, regional and local authorities on how to ensure compliance with EU law while procuring these services in a simple, speedy and non-bureaucratic manner.</w:t>
      </w:r>
    </w:p>
    <w:p w:rsidR="001C78DC" w:rsidRPr="001C78DC" w:rsidRDefault="001C78DC" w:rsidP="001C78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 xml:space="preserve">Addressing the external dimension of the refugee crisis: </w:t>
      </w:r>
      <w:r w:rsidRPr="001C78DC">
        <w:rPr>
          <w:rFonts w:ascii="Times New Roman" w:eastAsia="Times New Roman" w:hAnsi="Times New Roman" w:cs="Times New Roman"/>
          <w:sz w:val="24"/>
          <w:szCs w:val="24"/>
        </w:rPr>
        <w:t>The external dimension is a key component in the efforts of solving this crisis. Renewed efforts are being devoted to support diplomatic initiatives and find political solutions to the conflicts in Syria, Iraq, and Libya. The EU is providing assistance to the population in Syria – in particularly to internally displaced person - and financial support to neighbouring countries hosting the highest number of refugees from Syria, such as Jordan, Lebanon, Turkey. So far, €3.9 billion have been mobilised to this end. Fight against organised crime responsible for human smuggling is another priority, notably with the launch of the naval operation EUNAVFOR MED. Some 17 readmission agreements and 7 mobility partnership agreements have also been signed as part of our cooperation with third countries. The EU will also deepen the existing high-level dialogues on migration with key partners – such as the Rabat and Khartoum processes with African countries and the Budapest process with East and Central Asia, as well as the upcoming Conference in early October and Summit in Valetta on 11-12 November.</w:t>
      </w:r>
    </w:p>
    <w:p w:rsidR="001C78DC" w:rsidRPr="001C78DC" w:rsidRDefault="001C78DC" w:rsidP="001C78D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A Trust Fund for Africa</w:t>
      </w:r>
      <w:r w:rsidRPr="001C78DC">
        <w:rPr>
          <w:rFonts w:ascii="Times New Roman" w:eastAsia="Times New Roman" w:hAnsi="Times New Roman" w:cs="Times New Roman"/>
          <w:sz w:val="24"/>
          <w:szCs w:val="24"/>
        </w:rPr>
        <w:t>: Today, the European Commission has allocated €1.8 billion from the EU's financial means to set up an 'Emergency Trust Fund for stability and addressing root causes of irregular migration in Africa'. The aim is to improve stability and address root causes of irregular migration flows in the regions of the Sahel, Lake Chad, the Horn of Africa, and the North of Africa. It will support these regions to develop better socio-economic opportunities and migration management policies. The European Commission is expecting Member States to pitch in too and match our ambition. Spain, for example, has already confirmed its participation.</w:t>
      </w:r>
    </w:p>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 xml:space="preserve">The flip side to showing solidarity with frontline Member States is also that everyone must show responsibility in applying the common EU rules. To this end, the Commission is also this week stepping up </w:t>
      </w:r>
      <w:r w:rsidRPr="001C78DC">
        <w:rPr>
          <w:rFonts w:ascii="Times New Roman" w:eastAsia="Times New Roman" w:hAnsi="Times New Roman" w:cs="Times New Roman"/>
          <w:b/>
          <w:bCs/>
          <w:sz w:val="24"/>
          <w:szCs w:val="24"/>
        </w:rPr>
        <w:t>infringement procedures</w:t>
      </w:r>
      <w:r w:rsidRPr="001C78DC">
        <w:rPr>
          <w:rFonts w:ascii="Times New Roman" w:eastAsia="Times New Roman" w:hAnsi="Times New Roman" w:cs="Times New Roman"/>
          <w:sz w:val="24"/>
          <w:szCs w:val="24"/>
        </w:rPr>
        <w:t xml:space="preserve"> where necessary to enforce the rules and is implementing a </w:t>
      </w:r>
      <w:r w:rsidRPr="001C78DC">
        <w:rPr>
          <w:rFonts w:ascii="Times New Roman" w:eastAsia="Times New Roman" w:hAnsi="Times New Roman" w:cs="Times New Roman"/>
          <w:b/>
          <w:bCs/>
          <w:sz w:val="24"/>
          <w:szCs w:val="24"/>
        </w:rPr>
        <w:t>'HotSpot' approach</w:t>
      </w:r>
      <w:r w:rsidRPr="001C78DC">
        <w:rPr>
          <w:rFonts w:ascii="Times New Roman" w:eastAsia="Times New Roman" w:hAnsi="Times New Roman" w:cs="Times New Roman"/>
          <w:sz w:val="24"/>
          <w:szCs w:val="24"/>
        </w:rPr>
        <w:t xml:space="preserve"> in frontline Member States to assist them in applying common EU asylum rules (See MEMO/15/5597).</w:t>
      </w:r>
    </w:p>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Next Steps:</w:t>
      </w:r>
    </w:p>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 xml:space="preserve">The extraordinary Home Affairs Council on migration on 14 September will be the next opportunity for Member States to discuss and adopt the Commission’s legislative proposals. The emergency relocation mechanisms presented by the Commission in May and September need to be adopted by the Council (by qualified majority voting), in consultation with the European Parliament, while the permanent solidarity mechanism and the European list of safe countries of origin have to be adopted jointly by the European Parliament and the Council (using the ordinary </w:t>
      </w:r>
      <w:r w:rsidRPr="001C78DC">
        <w:rPr>
          <w:rFonts w:ascii="Times New Roman" w:eastAsia="Times New Roman" w:hAnsi="Times New Roman" w:cs="Times New Roman"/>
          <w:sz w:val="24"/>
          <w:szCs w:val="24"/>
        </w:rPr>
        <w:lastRenderedPageBreak/>
        <w:t>legislative procedure). The Trust Fund proposal is submitted to Member States with the objective of completing the necessary procedures in time for the Valletta Summit in November, where the EU will meet with key African countries to discuss migration and the refugee crisis.</w:t>
      </w:r>
    </w:p>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Background</w:t>
      </w:r>
    </w:p>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The European Commission has been consistently and continuously working for a coordinated European response on the refugees and migration front:</w:t>
      </w:r>
    </w:p>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 xml:space="preserve">On 23 April 2014, in Malta, Jean-Claude Juncker presented </w:t>
      </w:r>
      <w:hyperlink r:id="rId11" w:history="1">
        <w:r w:rsidRPr="001C78DC">
          <w:rPr>
            <w:rFonts w:ascii="Verdana" w:eastAsia="Times New Roman" w:hAnsi="Verdana" w:cs="Times New Roman"/>
            <w:color w:val="0000FF"/>
            <w:sz w:val="24"/>
            <w:szCs w:val="24"/>
          </w:rPr>
          <w:t>a five point plan on immigration</w:t>
        </w:r>
      </w:hyperlink>
      <w:r w:rsidRPr="001C78DC">
        <w:rPr>
          <w:rFonts w:ascii="Times New Roman" w:eastAsia="Times New Roman" w:hAnsi="Times New Roman" w:cs="Times New Roman"/>
          <w:sz w:val="24"/>
          <w:szCs w:val="24"/>
        </w:rPr>
        <w:t>, calling for more solidarity in the EU's migration policy as part of his campaign to become European Commission President.</w:t>
      </w:r>
    </w:p>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 xml:space="preserve">Upon taking office, European Commission President Jean-Claude Juncker entrusted a Commissioner with special responsibility for Migration to work, in coordination with First Vice-President Timmermans, on a new policy on migration as one of the 10 priorities of the </w:t>
      </w:r>
      <w:hyperlink r:id="rId12" w:history="1">
        <w:r w:rsidRPr="001C78DC">
          <w:rPr>
            <w:rFonts w:ascii="Verdana" w:eastAsia="Times New Roman" w:hAnsi="Verdana" w:cs="Times New Roman"/>
            <w:color w:val="0000FF"/>
            <w:sz w:val="24"/>
            <w:szCs w:val="24"/>
          </w:rPr>
          <w:t>Political Guidelines</w:t>
        </w:r>
      </w:hyperlink>
      <w:r w:rsidRPr="001C78DC">
        <w:rPr>
          <w:rFonts w:ascii="Times New Roman" w:eastAsia="Times New Roman" w:hAnsi="Times New Roman" w:cs="Times New Roman"/>
          <w:sz w:val="24"/>
          <w:szCs w:val="24"/>
        </w:rPr>
        <w:t>, the political programme based on which the European Parliament elected the Commission.</w:t>
      </w:r>
    </w:p>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 xml:space="preserve">Based on a </w:t>
      </w:r>
      <w:hyperlink r:id="rId13" w:history="1">
        <w:r w:rsidRPr="001C78DC">
          <w:rPr>
            <w:rFonts w:ascii="Verdana" w:eastAsia="Times New Roman" w:hAnsi="Verdana" w:cs="Times New Roman"/>
            <w:color w:val="0000FF"/>
            <w:sz w:val="24"/>
            <w:szCs w:val="24"/>
          </w:rPr>
          <w:t>proposal by the European Commission</w:t>
        </w:r>
      </w:hyperlink>
      <w:r w:rsidRPr="001C78DC">
        <w:rPr>
          <w:rFonts w:ascii="Times New Roman" w:eastAsia="Times New Roman" w:hAnsi="Times New Roman" w:cs="Times New Roman"/>
          <w:sz w:val="24"/>
          <w:szCs w:val="24"/>
        </w:rPr>
        <w:t xml:space="preserve">, in a </w:t>
      </w:r>
      <w:hyperlink r:id="rId14" w:history="1">
        <w:r w:rsidRPr="001C78DC">
          <w:rPr>
            <w:rFonts w:ascii="Verdana" w:eastAsia="Times New Roman" w:hAnsi="Verdana" w:cs="Times New Roman"/>
            <w:color w:val="0000FF"/>
            <w:sz w:val="24"/>
            <w:szCs w:val="24"/>
          </w:rPr>
          <w:t>European Council statement</w:t>
        </w:r>
      </w:hyperlink>
      <w:r w:rsidRPr="001C78DC">
        <w:rPr>
          <w:rFonts w:ascii="Times New Roman" w:eastAsia="Times New Roman" w:hAnsi="Times New Roman" w:cs="Times New Roman"/>
          <w:sz w:val="24"/>
          <w:szCs w:val="24"/>
        </w:rPr>
        <w:t xml:space="preserve"> of 23 April 2015, Member States committed to taking rapid action to save lives and to step up EU action in the field of migration. A </w:t>
      </w:r>
      <w:hyperlink r:id="rId15" w:history="1">
        <w:r w:rsidRPr="001C78DC">
          <w:rPr>
            <w:rFonts w:ascii="Verdana" w:eastAsia="Times New Roman" w:hAnsi="Verdana" w:cs="Times New Roman"/>
            <w:color w:val="0000FF"/>
            <w:sz w:val="24"/>
            <w:szCs w:val="24"/>
          </w:rPr>
          <w:t>European Parliament Resolution</w:t>
        </w:r>
      </w:hyperlink>
      <w:r w:rsidRPr="001C78DC">
        <w:rPr>
          <w:rFonts w:ascii="Times New Roman" w:eastAsia="Times New Roman" w:hAnsi="Times New Roman" w:cs="Times New Roman"/>
          <w:sz w:val="24"/>
          <w:szCs w:val="24"/>
        </w:rPr>
        <w:t xml:space="preserve"> followed a few days later.</w:t>
      </w:r>
    </w:p>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 xml:space="preserve">On 13 May 2015, the European Commission presented its </w:t>
      </w:r>
      <w:hyperlink r:id="rId16" w:history="1">
        <w:r w:rsidRPr="001C78DC">
          <w:rPr>
            <w:rFonts w:ascii="Verdana" w:eastAsia="Times New Roman" w:hAnsi="Verdana" w:cs="Times New Roman"/>
            <w:color w:val="0000FF"/>
            <w:sz w:val="24"/>
            <w:szCs w:val="24"/>
          </w:rPr>
          <w:t>European Agenda on Migration</w:t>
        </w:r>
      </w:hyperlink>
      <w:r w:rsidRPr="001C78DC">
        <w:rPr>
          <w:rFonts w:ascii="Times New Roman" w:eastAsia="Times New Roman" w:hAnsi="Times New Roman" w:cs="Times New Roman"/>
          <w:sz w:val="24"/>
          <w:szCs w:val="24"/>
        </w:rPr>
        <w:t>, setting out a comprehensive approach for improving the management of migration in all its aspects.</w:t>
      </w:r>
    </w:p>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 xml:space="preserve">On 27 May 2015, the European Commission already came forward with a </w:t>
      </w:r>
      <w:hyperlink r:id="rId17" w:history="1">
        <w:r w:rsidRPr="001C78DC">
          <w:rPr>
            <w:rFonts w:ascii="Verdana" w:eastAsia="Times New Roman" w:hAnsi="Verdana" w:cs="Times New Roman"/>
            <w:color w:val="0000FF"/>
            <w:sz w:val="24"/>
            <w:szCs w:val="24"/>
          </w:rPr>
          <w:t>first package of implementing measures</w:t>
        </w:r>
      </w:hyperlink>
      <w:r w:rsidRPr="001C78DC">
        <w:rPr>
          <w:rFonts w:ascii="Times New Roman" w:eastAsia="Times New Roman" w:hAnsi="Times New Roman" w:cs="Times New Roman"/>
          <w:sz w:val="24"/>
          <w:szCs w:val="24"/>
        </w:rPr>
        <w:t xml:space="preserve"> of the European Agenda on Migration, including relocation and resettlement proposals, and an EU Action plan against migrant smugglers.</w:t>
      </w:r>
    </w:p>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 xml:space="preserve">On 25-26 June, the </w:t>
      </w:r>
      <w:hyperlink r:id="rId18" w:history="1">
        <w:r w:rsidRPr="001C78DC">
          <w:rPr>
            <w:rFonts w:ascii="Verdana" w:eastAsia="Times New Roman" w:hAnsi="Verdana" w:cs="Times New Roman"/>
            <w:color w:val="0000FF"/>
            <w:sz w:val="24"/>
            <w:szCs w:val="24"/>
          </w:rPr>
          <w:t>European Council</w:t>
        </w:r>
      </w:hyperlink>
      <w:r w:rsidRPr="001C78DC">
        <w:rPr>
          <w:rFonts w:ascii="Times New Roman" w:eastAsia="Times New Roman" w:hAnsi="Times New Roman" w:cs="Times New Roman"/>
          <w:sz w:val="24"/>
          <w:szCs w:val="24"/>
        </w:rPr>
        <w:t xml:space="preserve"> agreed to move forward on the proposals made by the European Commission in the European Agenda on Migration, focusing on relocation and resettlement, returns and cooperation with countries of origin and transit.</w:t>
      </w:r>
    </w:p>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 xml:space="preserve">On 20 July, the </w:t>
      </w:r>
      <w:hyperlink r:id="rId19" w:history="1">
        <w:r w:rsidRPr="001C78DC">
          <w:rPr>
            <w:rFonts w:ascii="Verdana" w:eastAsia="Times New Roman" w:hAnsi="Verdana" w:cs="Times New Roman"/>
            <w:color w:val="0000FF"/>
            <w:sz w:val="24"/>
            <w:szCs w:val="24"/>
          </w:rPr>
          <w:t>Justice and Home Affairs Council</w:t>
        </w:r>
      </w:hyperlink>
      <w:r w:rsidRPr="001C78DC">
        <w:rPr>
          <w:rFonts w:ascii="Times New Roman" w:eastAsia="Times New Roman" w:hAnsi="Times New Roman" w:cs="Times New Roman"/>
          <w:sz w:val="24"/>
          <w:szCs w:val="24"/>
        </w:rPr>
        <w:t xml:space="preserve"> agreed to implement the measures as proposed in the European Agenda on Migration, notably to relocate people in clear need of international protection from Italy and Greece over the next two years, starting with 32,256 in a first step, and to resettle 22,504 displaced persons in clear need of international protection from outside the EU.</w:t>
      </w:r>
    </w:p>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For More Information</w:t>
      </w:r>
    </w:p>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hyperlink r:id="rId20" w:history="1">
        <w:r w:rsidRPr="001C78DC">
          <w:rPr>
            <w:rFonts w:ascii="Verdana" w:eastAsia="Times New Roman" w:hAnsi="Verdana" w:cs="Times New Roman"/>
            <w:color w:val="0000FF"/>
            <w:sz w:val="24"/>
            <w:szCs w:val="24"/>
          </w:rPr>
          <w:t>Detailed Questions &amp; Answers on today's proposals</w:t>
        </w:r>
      </w:hyperlink>
    </w:p>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hyperlink r:id="rId21" w:history="1">
        <w:r w:rsidRPr="001C78DC">
          <w:rPr>
            <w:rFonts w:ascii="Verdana" w:eastAsia="Times New Roman" w:hAnsi="Verdana" w:cs="Times New Roman"/>
            <w:color w:val="0000FF"/>
            <w:sz w:val="24"/>
            <w:szCs w:val="24"/>
          </w:rPr>
          <w:t>Factsheets – Relocation and Safe Countries of Origin explained</w:t>
        </w:r>
      </w:hyperlink>
    </w:p>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hyperlink r:id="rId22" w:history="1">
        <w:r w:rsidRPr="001C78DC">
          <w:rPr>
            <w:rFonts w:ascii="Verdana" w:eastAsia="Times New Roman" w:hAnsi="Verdana" w:cs="Times New Roman"/>
            <w:color w:val="0000FF"/>
            <w:sz w:val="24"/>
            <w:szCs w:val="24"/>
          </w:rPr>
          <w:t>Full Legislative Texts of today's proposals</w:t>
        </w:r>
      </w:hyperlink>
    </w:p>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hyperlink r:id="rId23" w:history="1">
        <w:r w:rsidRPr="001C78DC">
          <w:rPr>
            <w:rFonts w:ascii="Verdana" w:eastAsia="Times New Roman" w:hAnsi="Verdana" w:cs="Times New Roman"/>
            <w:color w:val="0000FF"/>
            <w:sz w:val="24"/>
            <w:szCs w:val="24"/>
          </w:rPr>
          <w:t>Full press pack European Agenda on Migration</w:t>
        </w:r>
      </w:hyperlink>
    </w:p>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hyperlink r:id="rId24" w:history="1">
        <w:r w:rsidRPr="001C78DC">
          <w:rPr>
            <w:rFonts w:ascii="Verdana" w:eastAsia="Times New Roman" w:hAnsi="Verdana" w:cs="Times New Roman"/>
            <w:color w:val="0000FF"/>
            <w:sz w:val="24"/>
            <w:szCs w:val="24"/>
          </w:rPr>
          <w:t>Directorate General for Migration and Home Affairs Website</w:t>
        </w:r>
      </w:hyperlink>
    </w:p>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 </w:t>
      </w:r>
    </w:p>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p>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 </w:t>
      </w:r>
    </w:p>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Annex: Emergency Relocation for Italy, Greece and Hungary</w:t>
      </w:r>
    </w:p>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8"/>
        <w:gridCol w:w="864"/>
        <w:gridCol w:w="974"/>
        <w:gridCol w:w="1085"/>
        <w:gridCol w:w="933"/>
      </w:tblGrid>
      <w:tr w:rsidR="001C78DC" w:rsidRPr="001C78DC" w:rsidTr="001C78DC">
        <w:trPr>
          <w:tblCellSpacing w:w="15" w:type="dxa"/>
        </w:trPr>
        <w:tc>
          <w:tcPr>
            <w:tcW w:w="15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 </w:t>
            </w:r>
          </w:p>
        </w:tc>
        <w:tc>
          <w:tcPr>
            <w:tcW w:w="7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i/>
                <w:iCs/>
                <w:sz w:val="24"/>
                <w:szCs w:val="24"/>
              </w:rPr>
              <w:t>Italy</w:t>
            </w:r>
          </w:p>
        </w:tc>
        <w:tc>
          <w:tcPr>
            <w:tcW w:w="8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i/>
                <w:iCs/>
                <w:sz w:val="24"/>
                <w:szCs w:val="24"/>
              </w:rPr>
              <w:t>Greece</w:t>
            </w:r>
          </w:p>
        </w:tc>
        <w:tc>
          <w:tcPr>
            <w:tcW w:w="9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i/>
                <w:iCs/>
                <w:sz w:val="24"/>
                <w:szCs w:val="24"/>
              </w:rPr>
              <w:t>Hungary</w:t>
            </w:r>
          </w:p>
        </w:tc>
        <w:tc>
          <w:tcPr>
            <w:tcW w:w="80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TOTAL</w:t>
            </w:r>
          </w:p>
        </w:tc>
      </w:tr>
      <w:tr w:rsidR="001C78DC" w:rsidRPr="001C78DC" w:rsidTr="001C78DC">
        <w:trPr>
          <w:tblCellSpacing w:w="15" w:type="dxa"/>
        </w:trPr>
        <w:tc>
          <w:tcPr>
            <w:tcW w:w="15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Austria</w:t>
            </w:r>
          </w:p>
        </w:tc>
        <w:tc>
          <w:tcPr>
            <w:tcW w:w="7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473</w:t>
            </w:r>
          </w:p>
        </w:tc>
        <w:tc>
          <w:tcPr>
            <w:tcW w:w="8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1529</w:t>
            </w:r>
          </w:p>
        </w:tc>
        <w:tc>
          <w:tcPr>
            <w:tcW w:w="9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1638</w:t>
            </w:r>
          </w:p>
        </w:tc>
        <w:tc>
          <w:tcPr>
            <w:tcW w:w="80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3640</w:t>
            </w:r>
          </w:p>
        </w:tc>
      </w:tr>
      <w:tr w:rsidR="001C78DC" w:rsidRPr="001C78DC" w:rsidTr="001C78DC">
        <w:trPr>
          <w:tblCellSpacing w:w="15" w:type="dxa"/>
        </w:trPr>
        <w:tc>
          <w:tcPr>
            <w:tcW w:w="15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Belgium</w:t>
            </w:r>
          </w:p>
        </w:tc>
        <w:tc>
          <w:tcPr>
            <w:tcW w:w="7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593</w:t>
            </w:r>
          </w:p>
        </w:tc>
        <w:tc>
          <w:tcPr>
            <w:tcW w:w="8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1917</w:t>
            </w:r>
          </w:p>
        </w:tc>
        <w:tc>
          <w:tcPr>
            <w:tcW w:w="9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2054</w:t>
            </w:r>
          </w:p>
        </w:tc>
        <w:tc>
          <w:tcPr>
            <w:tcW w:w="80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4564</w:t>
            </w:r>
          </w:p>
        </w:tc>
      </w:tr>
      <w:tr w:rsidR="001C78DC" w:rsidRPr="001C78DC" w:rsidTr="001C78DC">
        <w:trPr>
          <w:tblCellSpacing w:w="15" w:type="dxa"/>
        </w:trPr>
        <w:tc>
          <w:tcPr>
            <w:tcW w:w="15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Bulgaria</w:t>
            </w:r>
          </w:p>
        </w:tc>
        <w:tc>
          <w:tcPr>
            <w:tcW w:w="7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208</w:t>
            </w:r>
          </w:p>
        </w:tc>
        <w:tc>
          <w:tcPr>
            <w:tcW w:w="8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672</w:t>
            </w:r>
          </w:p>
        </w:tc>
        <w:tc>
          <w:tcPr>
            <w:tcW w:w="9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720</w:t>
            </w:r>
          </w:p>
        </w:tc>
        <w:tc>
          <w:tcPr>
            <w:tcW w:w="80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1600</w:t>
            </w:r>
          </w:p>
        </w:tc>
      </w:tr>
      <w:tr w:rsidR="001C78DC" w:rsidRPr="001C78DC" w:rsidTr="001C78DC">
        <w:trPr>
          <w:tblCellSpacing w:w="15" w:type="dxa"/>
        </w:trPr>
        <w:tc>
          <w:tcPr>
            <w:tcW w:w="15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Croatia</w:t>
            </w:r>
          </w:p>
        </w:tc>
        <w:tc>
          <w:tcPr>
            <w:tcW w:w="7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138</w:t>
            </w:r>
          </w:p>
        </w:tc>
        <w:tc>
          <w:tcPr>
            <w:tcW w:w="8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447</w:t>
            </w:r>
          </w:p>
        </w:tc>
        <w:tc>
          <w:tcPr>
            <w:tcW w:w="9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479</w:t>
            </w:r>
          </w:p>
        </w:tc>
        <w:tc>
          <w:tcPr>
            <w:tcW w:w="80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1064</w:t>
            </w:r>
          </w:p>
        </w:tc>
      </w:tr>
      <w:tr w:rsidR="001C78DC" w:rsidRPr="001C78DC" w:rsidTr="001C78DC">
        <w:trPr>
          <w:tblCellSpacing w:w="15" w:type="dxa"/>
        </w:trPr>
        <w:tc>
          <w:tcPr>
            <w:tcW w:w="15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Cyprus</w:t>
            </w:r>
          </w:p>
        </w:tc>
        <w:tc>
          <w:tcPr>
            <w:tcW w:w="7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36</w:t>
            </w:r>
          </w:p>
        </w:tc>
        <w:tc>
          <w:tcPr>
            <w:tcW w:w="8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115</w:t>
            </w:r>
          </w:p>
        </w:tc>
        <w:tc>
          <w:tcPr>
            <w:tcW w:w="9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123</w:t>
            </w:r>
          </w:p>
        </w:tc>
        <w:tc>
          <w:tcPr>
            <w:tcW w:w="80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274</w:t>
            </w:r>
          </w:p>
        </w:tc>
      </w:tr>
      <w:tr w:rsidR="001C78DC" w:rsidRPr="001C78DC" w:rsidTr="001C78DC">
        <w:trPr>
          <w:tblCellSpacing w:w="15" w:type="dxa"/>
        </w:trPr>
        <w:tc>
          <w:tcPr>
            <w:tcW w:w="15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Czech Republic</w:t>
            </w:r>
          </w:p>
        </w:tc>
        <w:tc>
          <w:tcPr>
            <w:tcW w:w="7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387</w:t>
            </w:r>
          </w:p>
        </w:tc>
        <w:tc>
          <w:tcPr>
            <w:tcW w:w="8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1251</w:t>
            </w:r>
          </w:p>
        </w:tc>
        <w:tc>
          <w:tcPr>
            <w:tcW w:w="9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1340</w:t>
            </w:r>
          </w:p>
        </w:tc>
        <w:tc>
          <w:tcPr>
            <w:tcW w:w="80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2978</w:t>
            </w:r>
          </w:p>
        </w:tc>
      </w:tr>
      <w:tr w:rsidR="001C78DC" w:rsidRPr="001C78DC" w:rsidTr="001C78DC">
        <w:trPr>
          <w:tblCellSpacing w:w="15" w:type="dxa"/>
        </w:trPr>
        <w:tc>
          <w:tcPr>
            <w:tcW w:w="15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Estonia</w:t>
            </w:r>
          </w:p>
        </w:tc>
        <w:tc>
          <w:tcPr>
            <w:tcW w:w="7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48</w:t>
            </w:r>
          </w:p>
        </w:tc>
        <w:tc>
          <w:tcPr>
            <w:tcW w:w="8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157</w:t>
            </w:r>
          </w:p>
        </w:tc>
        <w:tc>
          <w:tcPr>
            <w:tcW w:w="9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168</w:t>
            </w:r>
          </w:p>
        </w:tc>
        <w:tc>
          <w:tcPr>
            <w:tcW w:w="80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373</w:t>
            </w:r>
          </w:p>
        </w:tc>
      </w:tr>
      <w:tr w:rsidR="001C78DC" w:rsidRPr="001C78DC" w:rsidTr="001C78DC">
        <w:trPr>
          <w:tblCellSpacing w:w="15" w:type="dxa"/>
        </w:trPr>
        <w:tc>
          <w:tcPr>
            <w:tcW w:w="15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Finland</w:t>
            </w:r>
          </w:p>
        </w:tc>
        <w:tc>
          <w:tcPr>
            <w:tcW w:w="7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312</w:t>
            </w:r>
          </w:p>
        </w:tc>
        <w:tc>
          <w:tcPr>
            <w:tcW w:w="8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1007</w:t>
            </w:r>
          </w:p>
        </w:tc>
        <w:tc>
          <w:tcPr>
            <w:tcW w:w="9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1079</w:t>
            </w:r>
          </w:p>
        </w:tc>
        <w:tc>
          <w:tcPr>
            <w:tcW w:w="80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2398</w:t>
            </w:r>
          </w:p>
        </w:tc>
      </w:tr>
      <w:tr w:rsidR="001C78DC" w:rsidRPr="001C78DC" w:rsidTr="001C78DC">
        <w:trPr>
          <w:tblCellSpacing w:w="15" w:type="dxa"/>
        </w:trPr>
        <w:tc>
          <w:tcPr>
            <w:tcW w:w="15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France</w:t>
            </w:r>
          </w:p>
        </w:tc>
        <w:tc>
          <w:tcPr>
            <w:tcW w:w="7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3124</w:t>
            </w:r>
          </w:p>
        </w:tc>
        <w:tc>
          <w:tcPr>
            <w:tcW w:w="8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10093</w:t>
            </w:r>
          </w:p>
        </w:tc>
        <w:tc>
          <w:tcPr>
            <w:tcW w:w="9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10814</w:t>
            </w:r>
          </w:p>
        </w:tc>
        <w:tc>
          <w:tcPr>
            <w:tcW w:w="80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24031</w:t>
            </w:r>
          </w:p>
        </w:tc>
      </w:tr>
      <w:tr w:rsidR="001C78DC" w:rsidRPr="001C78DC" w:rsidTr="001C78DC">
        <w:trPr>
          <w:tblCellSpacing w:w="15" w:type="dxa"/>
        </w:trPr>
        <w:tc>
          <w:tcPr>
            <w:tcW w:w="15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Germany</w:t>
            </w:r>
          </w:p>
        </w:tc>
        <w:tc>
          <w:tcPr>
            <w:tcW w:w="7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4088</w:t>
            </w:r>
          </w:p>
        </w:tc>
        <w:tc>
          <w:tcPr>
            <w:tcW w:w="8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13206</w:t>
            </w:r>
          </w:p>
        </w:tc>
        <w:tc>
          <w:tcPr>
            <w:tcW w:w="9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14149</w:t>
            </w:r>
          </w:p>
        </w:tc>
        <w:tc>
          <w:tcPr>
            <w:tcW w:w="80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31443</w:t>
            </w:r>
          </w:p>
        </w:tc>
      </w:tr>
      <w:tr w:rsidR="001C78DC" w:rsidRPr="001C78DC" w:rsidTr="001C78DC">
        <w:trPr>
          <w:tblCellSpacing w:w="15" w:type="dxa"/>
        </w:trPr>
        <w:tc>
          <w:tcPr>
            <w:tcW w:w="15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Latvia</w:t>
            </w:r>
          </w:p>
        </w:tc>
        <w:tc>
          <w:tcPr>
            <w:tcW w:w="7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68</w:t>
            </w:r>
          </w:p>
        </w:tc>
        <w:tc>
          <w:tcPr>
            <w:tcW w:w="8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221</w:t>
            </w:r>
          </w:p>
        </w:tc>
        <w:tc>
          <w:tcPr>
            <w:tcW w:w="9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237</w:t>
            </w:r>
          </w:p>
        </w:tc>
        <w:tc>
          <w:tcPr>
            <w:tcW w:w="80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526</w:t>
            </w:r>
          </w:p>
        </w:tc>
      </w:tr>
      <w:tr w:rsidR="001C78DC" w:rsidRPr="001C78DC" w:rsidTr="001C78DC">
        <w:trPr>
          <w:tblCellSpacing w:w="15" w:type="dxa"/>
        </w:trPr>
        <w:tc>
          <w:tcPr>
            <w:tcW w:w="15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Lithuania</w:t>
            </w:r>
          </w:p>
        </w:tc>
        <w:tc>
          <w:tcPr>
            <w:tcW w:w="7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101</w:t>
            </w:r>
          </w:p>
        </w:tc>
        <w:tc>
          <w:tcPr>
            <w:tcW w:w="8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328</w:t>
            </w:r>
          </w:p>
        </w:tc>
        <w:tc>
          <w:tcPr>
            <w:tcW w:w="9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351</w:t>
            </w:r>
          </w:p>
        </w:tc>
        <w:tc>
          <w:tcPr>
            <w:tcW w:w="80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780</w:t>
            </w:r>
          </w:p>
        </w:tc>
      </w:tr>
      <w:tr w:rsidR="001C78DC" w:rsidRPr="001C78DC" w:rsidTr="001C78DC">
        <w:trPr>
          <w:tblCellSpacing w:w="15" w:type="dxa"/>
        </w:trPr>
        <w:tc>
          <w:tcPr>
            <w:tcW w:w="15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Luxembourg</w:t>
            </w:r>
          </w:p>
        </w:tc>
        <w:tc>
          <w:tcPr>
            <w:tcW w:w="7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57</w:t>
            </w:r>
          </w:p>
        </w:tc>
        <w:tc>
          <w:tcPr>
            <w:tcW w:w="8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185</w:t>
            </w:r>
          </w:p>
        </w:tc>
        <w:tc>
          <w:tcPr>
            <w:tcW w:w="9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198</w:t>
            </w:r>
          </w:p>
        </w:tc>
        <w:tc>
          <w:tcPr>
            <w:tcW w:w="80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440</w:t>
            </w:r>
          </w:p>
        </w:tc>
      </w:tr>
      <w:tr w:rsidR="001C78DC" w:rsidRPr="001C78DC" w:rsidTr="001C78DC">
        <w:trPr>
          <w:tblCellSpacing w:w="15" w:type="dxa"/>
        </w:trPr>
        <w:tc>
          <w:tcPr>
            <w:tcW w:w="15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Malta</w:t>
            </w:r>
          </w:p>
        </w:tc>
        <w:tc>
          <w:tcPr>
            <w:tcW w:w="7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17</w:t>
            </w:r>
          </w:p>
        </w:tc>
        <w:tc>
          <w:tcPr>
            <w:tcW w:w="8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56</w:t>
            </w:r>
          </w:p>
        </w:tc>
        <w:tc>
          <w:tcPr>
            <w:tcW w:w="9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60</w:t>
            </w:r>
          </w:p>
        </w:tc>
        <w:tc>
          <w:tcPr>
            <w:tcW w:w="80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133</w:t>
            </w:r>
          </w:p>
        </w:tc>
      </w:tr>
      <w:tr w:rsidR="001C78DC" w:rsidRPr="001C78DC" w:rsidTr="001C78DC">
        <w:trPr>
          <w:tblCellSpacing w:w="15" w:type="dxa"/>
        </w:trPr>
        <w:tc>
          <w:tcPr>
            <w:tcW w:w="15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Netherlands</w:t>
            </w:r>
          </w:p>
        </w:tc>
        <w:tc>
          <w:tcPr>
            <w:tcW w:w="7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938</w:t>
            </w:r>
          </w:p>
        </w:tc>
        <w:tc>
          <w:tcPr>
            <w:tcW w:w="8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3030</w:t>
            </w:r>
          </w:p>
        </w:tc>
        <w:tc>
          <w:tcPr>
            <w:tcW w:w="9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3246</w:t>
            </w:r>
          </w:p>
        </w:tc>
        <w:tc>
          <w:tcPr>
            <w:tcW w:w="80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7214</w:t>
            </w:r>
          </w:p>
        </w:tc>
      </w:tr>
      <w:tr w:rsidR="001C78DC" w:rsidRPr="001C78DC" w:rsidTr="001C78DC">
        <w:trPr>
          <w:tblCellSpacing w:w="15" w:type="dxa"/>
        </w:trPr>
        <w:tc>
          <w:tcPr>
            <w:tcW w:w="15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Poland</w:t>
            </w:r>
          </w:p>
        </w:tc>
        <w:tc>
          <w:tcPr>
            <w:tcW w:w="7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1207</w:t>
            </w:r>
          </w:p>
        </w:tc>
        <w:tc>
          <w:tcPr>
            <w:tcW w:w="8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3901</w:t>
            </w:r>
          </w:p>
        </w:tc>
        <w:tc>
          <w:tcPr>
            <w:tcW w:w="9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4179</w:t>
            </w:r>
          </w:p>
        </w:tc>
        <w:tc>
          <w:tcPr>
            <w:tcW w:w="80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9287</w:t>
            </w:r>
          </w:p>
        </w:tc>
      </w:tr>
      <w:tr w:rsidR="001C78DC" w:rsidRPr="001C78DC" w:rsidTr="001C78DC">
        <w:trPr>
          <w:tblCellSpacing w:w="15" w:type="dxa"/>
        </w:trPr>
        <w:tc>
          <w:tcPr>
            <w:tcW w:w="15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Portugal</w:t>
            </w:r>
          </w:p>
        </w:tc>
        <w:tc>
          <w:tcPr>
            <w:tcW w:w="7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400</w:t>
            </w:r>
          </w:p>
        </w:tc>
        <w:tc>
          <w:tcPr>
            <w:tcW w:w="8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1291</w:t>
            </w:r>
          </w:p>
        </w:tc>
        <w:tc>
          <w:tcPr>
            <w:tcW w:w="9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1383</w:t>
            </w:r>
          </w:p>
        </w:tc>
        <w:tc>
          <w:tcPr>
            <w:tcW w:w="80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3074</w:t>
            </w:r>
          </w:p>
        </w:tc>
      </w:tr>
      <w:tr w:rsidR="001C78DC" w:rsidRPr="001C78DC" w:rsidTr="001C78DC">
        <w:trPr>
          <w:tblCellSpacing w:w="15" w:type="dxa"/>
        </w:trPr>
        <w:tc>
          <w:tcPr>
            <w:tcW w:w="15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Romania</w:t>
            </w:r>
          </w:p>
        </w:tc>
        <w:tc>
          <w:tcPr>
            <w:tcW w:w="7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604</w:t>
            </w:r>
          </w:p>
        </w:tc>
        <w:tc>
          <w:tcPr>
            <w:tcW w:w="8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1951</w:t>
            </w:r>
          </w:p>
        </w:tc>
        <w:tc>
          <w:tcPr>
            <w:tcW w:w="9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2091</w:t>
            </w:r>
          </w:p>
        </w:tc>
        <w:tc>
          <w:tcPr>
            <w:tcW w:w="80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4646</w:t>
            </w:r>
          </w:p>
        </w:tc>
      </w:tr>
      <w:tr w:rsidR="001C78DC" w:rsidRPr="001C78DC" w:rsidTr="001C78DC">
        <w:trPr>
          <w:tblCellSpacing w:w="15" w:type="dxa"/>
        </w:trPr>
        <w:tc>
          <w:tcPr>
            <w:tcW w:w="15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Slovakia</w:t>
            </w:r>
          </w:p>
        </w:tc>
        <w:tc>
          <w:tcPr>
            <w:tcW w:w="7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195</w:t>
            </w:r>
          </w:p>
        </w:tc>
        <w:tc>
          <w:tcPr>
            <w:tcW w:w="8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631</w:t>
            </w:r>
          </w:p>
        </w:tc>
        <w:tc>
          <w:tcPr>
            <w:tcW w:w="9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676</w:t>
            </w:r>
          </w:p>
        </w:tc>
        <w:tc>
          <w:tcPr>
            <w:tcW w:w="80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1502</w:t>
            </w:r>
          </w:p>
        </w:tc>
      </w:tr>
      <w:tr w:rsidR="001C78DC" w:rsidRPr="001C78DC" w:rsidTr="001C78DC">
        <w:trPr>
          <w:tblCellSpacing w:w="15" w:type="dxa"/>
        </w:trPr>
        <w:tc>
          <w:tcPr>
            <w:tcW w:w="15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Slovenia</w:t>
            </w:r>
          </w:p>
        </w:tc>
        <w:tc>
          <w:tcPr>
            <w:tcW w:w="7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82</w:t>
            </w:r>
          </w:p>
        </w:tc>
        <w:tc>
          <w:tcPr>
            <w:tcW w:w="8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265</w:t>
            </w:r>
          </w:p>
        </w:tc>
        <w:tc>
          <w:tcPr>
            <w:tcW w:w="9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284</w:t>
            </w:r>
          </w:p>
        </w:tc>
        <w:tc>
          <w:tcPr>
            <w:tcW w:w="80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631</w:t>
            </w:r>
          </w:p>
        </w:tc>
      </w:tr>
      <w:tr w:rsidR="001C78DC" w:rsidRPr="001C78DC" w:rsidTr="001C78DC">
        <w:trPr>
          <w:tblCellSpacing w:w="15" w:type="dxa"/>
        </w:trPr>
        <w:tc>
          <w:tcPr>
            <w:tcW w:w="15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Spain</w:t>
            </w:r>
          </w:p>
        </w:tc>
        <w:tc>
          <w:tcPr>
            <w:tcW w:w="7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1941</w:t>
            </w:r>
          </w:p>
        </w:tc>
        <w:tc>
          <w:tcPr>
            <w:tcW w:w="8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6271</w:t>
            </w:r>
          </w:p>
        </w:tc>
        <w:tc>
          <w:tcPr>
            <w:tcW w:w="9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6719</w:t>
            </w:r>
          </w:p>
        </w:tc>
        <w:tc>
          <w:tcPr>
            <w:tcW w:w="80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14931</w:t>
            </w:r>
          </w:p>
        </w:tc>
      </w:tr>
      <w:tr w:rsidR="001C78DC" w:rsidRPr="001C78DC" w:rsidTr="001C78DC">
        <w:trPr>
          <w:tblCellSpacing w:w="15" w:type="dxa"/>
        </w:trPr>
        <w:tc>
          <w:tcPr>
            <w:tcW w:w="15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Sweden</w:t>
            </w:r>
          </w:p>
        </w:tc>
        <w:tc>
          <w:tcPr>
            <w:tcW w:w="7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581</w:t>
            </w:r>
          </w:p>
        </w:tc>
        <w:tc>
          <w:tcPr>
            <w:tcW w:w="8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1877</w:t>
            </w:r>
          </w:p>
        </w:tc>
        <w:tc>
          <w:tcPr>
            <w:tcW w:w="9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2011</w:t>
            </w:r>
          </w:p>
        </w:tc>
        <w:tc>
          <w:tcPr>
            <w:tcW w:w="80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4469</w:t>
            </w:r>
          </w:p>
        </w:tc>
      </w:tr>
      <w:tr w:rsidR="001C78DC" w:rsidRPr="001C78DC" w:rsidTr="001C78DC">
        <w:trPr>
          <w:tblCellSpacing w:w="15" w:type="dxa"/>
        </w:trPr>
        <w:tc>
          <w:tcPr>
            <w:tcW w:w="15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lastRenderedPageBreak/>
              <w:t>TOTAL</w:t>
            </w:r>
          </w:p>
        </w:tc>
        <w:tc>
          <w:tcPr>
            <w:tcW w:w="7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15600</w:t>
            </w:r>
          </w:p>
        </w:tc>
        <w:tc>
          <w:tcPr>
            <w:tcW w:w="8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50400</w:t>
            </w:r>
          </w:p>
        </w:tc>
        <w:tc>
          <w:tcPr>
            <w:tcW w:w="95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54000</w:t>
            </w:r>
          </w:p>
        </w:tc>
        <w:tc>
          <w:tcPr>
            <w:tcW w:w="800" w:type="pct"/>
            <w:vAlign w:val="center"/>
            <w:hideMark/>
          </w:tcPr>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b/>
                <w:bCs/>
                <w:sz w:val="24"/>
                <w:szCs w:val="24"/>
              </w:rPr>
              <w:t>120000</w:t>
            </w:r>
          </w:p>
        </w:tc>
      </w:tr>
    </w:tbl>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 </w:t>
      </w:r>
    </w:p>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p>
    <w:bookmarkStart w:id="2" w:name="_ftn1"/>
    <w:p w:rsidR="001C78DC"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fldChar w:fldCharType="begin"/>
      </w:r>
      <w:r w:rsidRPr="001C78DC">
        <w:rPr>
          <w:rFonts w:ascii="Times New Roman" w:eastAsia="Times New Roman" w:hAnsi="Times New Roman" w:cs="Times New Roman"/>
          <w:sz w:val="24"/>
          <w:szCs w:val="24"/>
        </w:rPr>
        <w:instrText xml:space="preserve"> HYPERLINK "http://europa.eu/rapid/press-release_IP-15-5596_en.htm" \l "_ftnref1" </w:instrText>
      </w:r>
      <w:r w:rsidRPr="001C78DC">
        <w:rPr>
          <w:rFonts w:ascii="Times New Roman" w:eastAsia="Times New Roman" w:hAnsi="Times New Roman" w:cs="Times New Roman"/>
          <w:sz w:val="24"/>
          <w:szCs w:val="24"/>
        </w:rPr>
        <w:fldChar w:fldCharType="separate"/>
      </w:r>
      <w:r w:rsidRPr="001C78DC">
        <w:rPr>
          <w:rFonts w:ascii="Verdana" w:eastAsia="Times New Roman" w:hAnsi="Verdana" w:cs="Times New Roman"/>
          <w:color w:val="0000FF"/>
          <w:sz w:val="24"/>
          <w:szCs w:val="24"/>
        </w:rPr>
        <w:t>[1]</w:t>
      </w:r>
      <w:r w:rsidRPr="001C78DC">
        <w:rPr>
          <w:rFonts w:ascii="Times New Roman" w:eastAsia="Times New Roman" w:hAnsi="Times New Roman" w:cs="Times New Roman"/>
          <w:sz w:val="24"/>
          <w:szCs w:val="24"/>
        </w:rPr>
        <w:fldChar w:fldCharType="end"/>
      </w:r>
      <w:bookmarkEnd w:id="2"/>
      <w:r w:rsidRPr="001C78DC">
        <w:rPr>
          <w:rFonts w:ascii="Times New Roman" w:eastAsia="Times New Roman" w:hAnsi="Times New Roman" w:cs="Times New Roman"/>
          <w:sz w:val="24"/>
          <w:szCs w:val="24"/>
        </w:rPr>
        <w:t xml:space="preserve"> On the basis of current data, this would thus apply to applicants from Syria, Iraq and Eritrea.</w:t>
      </w:r>
    </w:p>
    <w:p w:rsidR="005F03DF" w:rsidRPr="001C78DC" w:rsidRDefault="001C78DC" w:rsidP="001C78DC">
      <w:pPr>
        <w:spacing w:before="100" w:beforeAutospacing="1" w:after="100" w:afterAutospacing="1" w:line="240" w:lineRule="auto"/>
        <w:rPr>
          <w:rFonts w:ascii="Times New Roman" w:eastAsia="Times New Roman" w:hAnsi="Times New Roman" w:cs="Times New Roman"/>
          <w:sz w:val="24"/>
          <w:szCs w:val="24"/>
        </w:rPr>
      </w:pPr>
      <w:r w:rsidRPr="001C78DC">
        <w:rPr>
          <w:rFonts w:ascii="Times New Roman" w:eastAsia="Times New Roman" w:hAnsi="Times New Roman" w:cs="Times New Roman"/>
          <w:sz w:val="24"/>
          <w:szCs w:val="24"/>
        </w:rPr>
        <w:t>IP/15/5596</w:t>
      </w:r>
    </w:p>
    <w:sectPr w:rsidR="005F03DF" w:rsidRPr="001C7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B5C3B"/>
    <w:multiLevelType w:val="multilevel"/>
    <w:tmpl w:val="31DAD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8DC"/>
    <w:rsid w:val="001C78DC"/>
    <w:rsid w:val="00292C35"/>
    <w:rsid w:val="00BB599A"/>
    <w:rsid w:val="00D3167F"/>
    <w:rsid w:val="00D8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78DC"/>
    <w:pPr>
      <w:spacing w:before="100" w:beforeAutospacing="1" w:after="100" w:afterAutospacing="1" w:line="240" w:lineRule="auto"/>
      <w:outlineLvl w:val="0"/>
    </w:pPr>
    <w:rPr>
      <w:rFonts w:ascii="Verdana" w:eastAsia="Times New Roman" w:hAnsi="Verdana" w:cs="Times New Roman"/>
      <w:b/>
      <w:bCs/>
      <w:color w:val="284F75"/>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8DC"/>
    <w:rPr>
      <w:rFonts w:ascii="Verdana" w:eastAsia="Times New Roman" w:hAnsi="Verdana" w:cs="Times New Roman"/>
      <w:b/>
      <w:bCs/>
      <w:color w:val="284F75"/>
      <w:kern w:val="36"/>
      <w:sz w:val="48"/>
      <w:szCs w:val="48"/>
    </w:rPr>
  </w:style>
  <w:style w:type="character" w:styleId="Hyperlink">
    <w:name w:val="Hyperlink"/>
    <w:basedOn w:val="DefaultParagraphFont"/>
    <w:uiPriority w:val="99"/>
    <w:semiHidden/>
    <w:unhideWhenUsed/>
    <w:rsid w:val="001C78DC"/>
    <w:rPr>
      <w:rFonts w:ascii="Verdana" w:hAnsi="Verdana" w:hint="default"/>
      <w:strike w:val="0"/>
      <w:dstrike w:val="0"/>
      <w:color w:val="0000FF"/>
      <w:u w:val="none"/>
      <w:effect w:val="none"/>
    </w:rPr>
  </w:style>
  <w:style w:type="paragraph" w:styleId="NormalWeb">
    <w:name w:val="Normal (Web)"/>
    <w:basedOn w:val="Normal"/>
    <w:uiPriority w:val="99"/>
    <w:unhideWhenUsed/>
    <w:rsid w:val="001C7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1C78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78DC"/>
    <w:rPr>
      <w:b/>
      <w:bCs/>
    </w:rPr>
  </w:style>
  <w:style w:type="character" w:styleId="Emphasis">
    <w:name w:val="Emphasis"/>
    <w:basedOn w:val="DefaultParagraphFont"/>
    <w:uiPriority w:val="20"/>
    <w:qFormat/>
    <w:rsid w:val="001C78DC"/>
    <w:rPr>
      <w:i/>
      <w:iCs/>
    </w:rPr>
  </w:style>
  <w:style w:type="paragraph" w:customStyle="1" w:styleId="reference">
    <w:name w:val="reference"/>
    <w:basedOn w:val="Normal"/>
    <w:rsid w:val="001C78D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78DC"/>
    <w:pPr>
      <w:spacing w:before="100" w:beforeAutospacing="1" w:after="100" w:afterAutospacing="1" w:line="240" w:lineRule="auto"/>
      <w:outlineLvl w:val="0"/>
    </w:pPr>
    <w:rPr>
      <w:rFonts w:ascii="Verdana" w:eastAsia="Times New Roman" w:hAnsi="Verdana" w:cs="Times New Roman"/>
      <w:b/>
      <w:bCs/>
      <w:color w:val="284F75"/>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8DC"/>
    <w:rPr>
      <w:rFonts w:ascii="Verdana" w:eastAsia="Times New Roman" w:hAnsi="Verdana" w:cs="Times New Roman"/>
      <w:b/>
      <w:bCs/>
      <w:color w:val="284F75"/>
      <w:kern w:val="36"/>
      <w:sz w:val="48"/>
      <w:szCs w:val="48"/>
    </w:rPr>
  </w:style>
  <w:style w:type="character" w:styleId="Hyperlink">
    <w:name w:val="Hyperlink"/>
    <w:basedOn w:val="DefaultParagraphFont"/>
    <w:uiPriority w:val="99"/>
    <w:semiHidden/>
    <w:unhideWhenUsed/>
    <w:rsid w:val="001C78DC"/>
    <w:rPr>
      <w:rFonts w:ascii="Verdana" w:hAnsi="Verdana" w:hint="default"/>
      <w:strike w:val="0"/>
      <w:dstrike w:val="0"/>
      <w:color w:val="0000FF"/>
      <w:u w:val="none"/>
      <w:effect w:val="none"/>
    </w:rPr>
  </w:style>
  <w:style w:type="paragraph" w:styleId="NormalWeb">
    <w:name w:val="Normal (Web)"/>
    <w:basedOn w:val="Normal"/>
    <w:uiPriority w:val="99"/>
    <w:unhideWhenUsed/>
    <w:rsid w:val="001C78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1C78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78DC"/>
    <w:rPr>
      <w:b/>
      <w:bCs/>
    </w:rPr>
  </w:style>
  <w:style w:type="character" w:styleId="Emphasis">
    <w:name w:val="Emphasis"/>
    <w:basedOn w:val="DefaultParagraphFont"/>
    <w:uiPriority w:val="20"/>
    <w:qFormat/>
    <w:rsid w:val="001C78DC"/>
    <w:rPr>
      <w:i/>
      <w:iCs/>
    </w:rPr>
  </w:style>
  <w:style w:type="paragraph" w:customStyle="1" w:styleId="reference">
    <w:name w:val="reference"/>
    <w:basedOn w:val="Normal"/>
    <w:rsid w:val="001C78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228234">
      <w:bodyDiv w:val="1"/>
      <w:marLeft w:val="0"/>
      <w:marRight w:val="0"/>
      <w:marTop w:val="0"/>
      <w:marBottom w:val="0"/>
      <w:divBdr>
        <w:top w:val="none" w:sz="0" w:space="0" w:color="auto"/>
        <w:left w:val="none" w:sz="0" w:space="0" w:color="auto"/>
        <w:bottom w:val="none" w:sz="0" w:space="0" w:color="auto"/>
        <w:right w:val="none" w:sz="0" w:space="0" w:color="auto"/>
      </w:divBdr>
      <w:divsChild>
        <w:div w:id="897013830">
          <w:marLeft w:val="0"/>
          <w:marRight w:val="0"/>
          <w:marTop w:val="0"/>
          <w:marBottom w:val="0"/>
          <w:divBdr>
            <w:top w:val="none" w:sz="0" w:space="0" w:color="auto"/>
            <w:left w:val="none" w:sz="0" w:space="0" w:color="auto"/>
            <w:bottom w:val="none" w:sz="0" w:space="0" w:color="auto"/>
            <w:right w:val="none" w:sz="0" w:space="0" w:color="auto"/>
          </w:divBdr>
          <w:divsChild>
            <w:div w:id="1307659601">
              <w:marLeft w:val="0"/>
              <w:marRight w:val="0"/>
              <w:marTop w:val="0"/>
              <w:marBottom w:val="150"/>
              <w:divBdr>
                <w:top w:val="none" w:sz="0" w:space="0" w:color="auto"/>
                <w:left w:val="none" w:sz="0" w:space="0" w:color="auto"/>
                <w:bottom w:val="none" w:sz="0" w:space="0" w:color="auto"/>
                <w:right w:val="none" w:sz="0" w:space="0" w:color="auto"/>
              </w:divBdr>
              <w:divsChild>
                <w:div w:id="1714378073">
                  <w:marLeft w:val="0"/>
                  <w:marRight w:val="0"/>
                  <w:marTop w:val="0"/>
                  <w:marBottom w:val="0"/>
                  <w:divBdr>
                    <w:top w:val="none" w:sz="0" w:space="0" w:color="auto"/>
                    <w:left w:val="none" w:sz="0" w:space="0" w:color="auto"/>
                    <w:bottom w:val="none" w:sz="0" w:space="0" w:color="auto"/>
                    <w:right w:val="none" w:sz="0" w:space="0" w:color="auto"/>
                  </w:divBdr>
                  <w:divsChild>
                    <w:div w:id="591666551">
                      <w:marLeft w:val="0"/>
                      <w:marRight w:val="0"/>
                      <w:marTop w:val="0"/>
                      <w:marBottom w:val="0"/>
                      <w:divBdr>
                        <w:top w:val="none" w:sz="0" w:space="0" w:color="auto"/>
                        <w:left w:val="none" w:sz="0" w:space="0" w:color="auto"/>
                        <w:bottom w:val="none" w:sz="0" w:space="0" w:color="auto"/>
                        <w:right w:val="none" w:sz="0" w:space="0" w:color="auto"/>
                      </w:divBdr>
                      <w:divsChild>
                        <w:div w:id="2131782764">
                          <w:marLeft w:val="0"/>
                          <w:marRight w:val="0"/>
                          <w:marTop w:val="0"/>
                          <w:marBottom w:val="0"/>
                          <w:divBdr>
                            <w:top w:val="none" w:sz="0" w:space="0" w:color="auto"/>
                            <w:left w:val="none" w:sz="0" w:space="0" w:color="auto"/>
                            <w:bottom w:val="none" w:sz="0" w:space="0" w:color="auto"/>
                            <w:right w:val="none" w:sz="0" w:space="0" w:color="auto"/>
                          </w:divBdr>
                          <w:divsChild>
                            <w:div w:id="1652755273">
                              <w:marLeft w:val="0"/>
                              <w:marRight w:val="0"/>
                              <w:marTop w:val="0"/>
                              <w:marBottom w:val="0"/>
                              <w:divBdr>
                                <w:top w:val="none" w:sz="0" w:space="0" w:color="auto"/>
                                <w:left w:val="none" w:sz="0" w:space="0" w:color="auto"/>
                                <w:bottom w:val="none" w:sz="0" w:space="0" w:color="auto"/>
                                <w:right w:val="none" w:sz="0" w:space="0" w:color="auto"/>
                              </w:divBdr>
                              <w:divsChild>
                                <w:div w:id="1333753673">
                                  <w:marLeft w:val="0"/>
                                  <w:marRight w:val="-3600"/>
                                  <w:marTop w:val="150"/>
                                  <w:marBottom w:val="0"/>
                                  <w:divBdr>
                                    <w:top w:val="none" w:sz="0" w:space="0" w:color="auto"/>
                                    <w:left w:val="none" w:sz="0" w:space="0" w:color="auto"/>
                                    <w:bottom w:val="none" w:sz="0" w:space="0" w:color="auto"/>
                                    <w:right w:val="none" w:sz="0" w:space="0" w:color="auto"/>
                                  </w:divBdr>
                                  <w:divsChild>
                                    <w:div w:id="1813449354">
                                      <w:marLeft w:val="0"/>
                                      <w:marRight w:val="3600"/>
                                      <w:marTop w:val="0"/>
                                      <w:marBottom w:val="0"/>
                                      <w:divBdr>
                                        <w:top w:val="none" w:sz="0" w:space="0" w:color="auto"/>
                                        <w:left w:val="none" w:sz="0" w:space="0" w:color="auto"/>
                                        <w:bottom w:val="none" w:sz="0" w:space="0" w:color="auto"/>
                                        <w:right w:val="none" w:sz="0" w:space="0" w:color="auto"/>
                                      </w:divBdr>
                                      <w:divsChild>
                                        <w:div w:id="652685672">
                                          <w:marLeft w:val="0"/>
                                          <w:marRight w:val="0"/>
                                          <w:marTop w:val="0"/>
                                          <w:marBottom w:val="0"/>
                                          <w:divBdr>
                                            <w:top w:val="none" w:sz="0" w:space="0" w:color="auto"/>
                                            <w:left w:val="none" w:sz="0" w:space="0" w:color="auto"/>
                                            <w:bottom w:val="none" w:sz="0" w:space="0" w:color="auto"/>
                                            <w:right w:val="none" w:sz="0" w:space="0" w:color="auto"/>
                                          </w:divBdr>
                                          <w:divsChild>
                                            <w:div w:id="1063720716">
                                              <w:marLeft w:val="0"/>
                                              <w:marRight w:val="0"/>
                                              <w:marTop w:val="0"/>
                                              <w:marBottom w:val="0"/>
                                              <w:divBdr>
                                                <w:top w:val="none" w:sz="0" w:space="0" w:color="auto"/>
                                                <w:left w:val="none" w:sz="0" w:space="0" w:color="auto"/>
                                                <w:bottom w:val="none" w:sz="0" w:space="0" w:color="auto"/>
                                                <w:right w:val="none" w:sz="0" w:space="0" w:color="auto"/>
                                              </w:divBdr>
                                              <w:divsChild>
                                                <w:div w:id="1160778728">
                                                  <w:marLeft w:val="0"/>
                                                  <w:marRight w:val="0"/>
                                                  <w:marTop w:val="0"/>
                                                  <w:marBottom w:val="0"/>
                                                  <w:divBdr>
                                                    <w:top w:val="none" w:sz="0" w:space="0" w:color="auto"/>
                                                    <w:left w:val="none" w:sz="0" w:space="0" w:color="auto"/>
                                                    <w:bottom w:val="none" w:sz="0" w:space="0" w:color="auto"/>
                                                    <w:right w:val="none" w:sz="0" w:space="0" w:color="auto"/>
                                                  </w:divBdr>
                                                  <w:divsChild>
                                                    <w:div w:id="669023362">
                                                      <w:marLeft w:val="0"/>
                                                      <w:marRight w:val="0"/>
                                                      <w:marTop w:val="0"/>
                                                      <w:marBottom w:val="0"/>
                                                      <w:divBdr>
                                                        <w:top w:val="none" w:sz="0" w:space="0" w:color="auto"/>
                                                        <w:left w:val="none" w:sz="0" w:space="0" w:color="auto"/>
                                                        <w:bottom w:val="none" w:sz="0" w:space="0" w:color="auto"/>
                                                        <w:right w:val="none" w:sz="0" w:space="0" w:color="auto"/>
                                                      </w:divBdr>
                                                      <w:divsChild>
                                                        <w:div w:id="648243070">
                                                          <w:marLeft w:val="0"/>
                                                          <w:marRight w:val="0"/>
                                                          <w:marTop w:val="0"/>
                                                          <w:marBottom w:val="0"/>
                                                          <w:divBdr>
                                                            <w:top w:val="none" w:sz="0" w:space="0" w:color="auto"/>
                                                            <w:left w:val="none" w:sz="0" w:space="0" w:color="auto"/>
                                                            <w:bottom w:val="none" w:sz="0" w:space="0" w:color="auto"/>
                                                            <w:right w:val="none" w:sz="0" w:space="0" w:color="auto"/>
                                                          </w:divBdr>
                                                        </w:div>
                                                        <w:div w:id="18871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ilium.europa.eu/en/meetings/european-council/2015/06/EUCO-conclusions-pdf/" TargetMode="External"/><Relationship Id="rId13" Type="http://schemas.openxmlformats.org/officeDocument/2006/relationships/hyperlink" Target="http://europa.eu/rapid/press-release_IP-15-4813_en.htm" TargetMode="External"/><Relationship Id="rId18" Type="http://schemas.openxmlformats.org/officeDocument/2006/relationships/hyperlink" Target="http://www.consilium.europa.eu/en/meetings/european-council/2015/06/EUCO-conclusions-pd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ec.europa.eu/dgs/home-affairs/what-we-do/policies/european-agenda-migration/background-information/index_en.htm" TargetMode="External"/><Relationship Id="rId7" Type="http://schemas.openxmlformats.org/officeDocument/2006/relationships/hyperlink" Target="http://europa.eu/rapid/press-release_IP-15-5039_en.htm" TargetMode="External"/><Relationship Id="rId12" Type="http://schemas.openxmlformats.org/officeDocument/2006/relationships/hyperlink" Target="http://ec.europa.eu/priorities/docs/pg_en.pdf" TargetMode="External"/><Relationship Id="rId17" Type="http://schemas.openxmlformats.org/officeDocument/2006/relationships/hyperlink" Target="http://europa.eu/rapid/press-release_IP-15-5039_en.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c.europa.eu/dgs/home-affairs/what-we-do/policies/european-agenda-migration/background-information/index_en.htm" TargetMode="External"/><Relationship Id="rId20" Type="http://schemas.openxmlformats.org/officeDocument/2006/relationships/hyperlink" Target="http://europa.eu/rapid/press-release_MEMO-15-5597_en.htm" TargetMode="External"/><Relationship Id="rId1" Type="http://schemas.openxmlformats.org/officeDocument/2006/relationships/numbering" Target="numbering.xml"/><Relationship Id="rId6" Type="http://schemas.openxmlformats.org/officeDocument/2006/relationships/hyperlink" Target="http://ec.europa.eu/dgs/home-affairs/what-we-do/policies/european-agenda-migration/background-information/index_en.htm" TargetMode="External"/><Relationship Id="rId11" Type="http://schemas.openxmlformats.org/officeDocument/2006/relationships/hyperlink" Target="http://juncker.epp.eu/sites/default/files/attachments/nodes/en_02_immigration.pdf" TargetMode="External"/><Relationship Id="rId24" Type="http://schemas.openxmlformats.org/officeDocument/2006/relationships/hyperlink" Target="http://ec.europa.eu/dgs/home-affairs/" TargetMode="External"/><Relationship Id="rId5" Type="http://schemas.openxmlformats.org/officeDocument/2006/relationships/webSettings" Target="webSettings.xml"/><Relationship Id="rId15" Type="http://schemas.openxmlformats.org/officeDocument/2006/relationships/hyperlink" Target="http://www.europarl.europa.eu/sides/getDoc.do?pubRef=-//EP//NONSGML+TA+20150429+SIT-03+DOC+PDF+V0//EN&amp;language=EN" TargetMode="External"/><Relationship Id="rId23" Type="http://schemas.openxmlformats.org/officeDocument/2006/relationships/hyperlink" Target="http://ec.europa.eu/dgs/home-affairs/what-we-do/policies/european-agenda-migration/background-information/index_en.htm" TargetMode="External"/><Relationship Id="rId10" Type="http://schemas.openxmlformats.org/officeDocument/2006/relationships/hyperlink" Target="http://eur-lex.europa.eu/LexUriServ/LexUriServ.do?uri=OJ:L:2008:348:0098:0107:EN:PDF" TargetMode="External"/><Relationship Id="rId19" Type="http://schemas.openxmlformats.org/officeDocument/2006/relationships/hyperlink" Target="http://www.consilium.europa.eu/en/meetings/jha/2015/07/20/" TargetMode="External"/><Relationship Id="rId4" Type="http://schemas.openxmlformats.org/officeDocument/2006/relationships/settings" Target="settings.xml"/><Relationship Id="rId9" Type="http://schemas.openxmlformats.org/officeDocument/2006/relationships/hyperlink" Target="http://eur-lex.europa.eu/legal-content/EN/TXT/PDF/?uri=CELEX:32013L0032&amp;from=EN" TargetMode="External"/><Relationship Id="rId14" Type="http://schemas.openxmlformats.org/officeDocument/2006/relationships/hyperlink" Target="http://www.consilium.europa.eu/en/press/press-releases/2015/04/23-special-euco-statement/" TargetMode="External"/><Relationship Id="rId22" Type="http://schemas.openxmlformats.org/officeDocument/2006/relationships/hyperlink" Target="http://ec.europa.eu/dgs/home-affairs/what-we-do/policies/european-agenda-migration/proposal-implementation-package/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2402</Words>
  <Characters>13694</Characters>
  <Application>Microsoft Office Word</Application>
  <DocSecurity>0</DocSecurity>
  <Lines>114</Lines>
  <Paragraphs>32</Paragraphs>
  <ScaleCrop>false</ScaleCrop>
  <Company/>
  <LinksUpToDate>false</LinksUpToDate>
  <CharactersWithSpaces>16064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Crni</dc:creator>
  <cp:lastModifiedBy>Crni</cp:lastModifiedBy>
  <cp:revision>1</cp:revision>
  <dcterms:created xsi:type="dcterms:W3CDTF">2015-09-10T00:31:00Z</dcterms:created>
  <dcterms:modified xsi:type="dcterms:W3CDTF">2015-09-10T00:33:00Z</dcterms:modified>
</cp:coreProperties>
</file>