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5738B" w14:textId="77777777" w:rsidR="000B3BC1" w:rsidRPr="00986DFE" w:rsidRDefault="00271B68">
      <w:pPr>
        <w:spacing w:after="79"/>
        <w:rPr>
          <w:lang w:val="sr-Cyrl-RS"/>
        </w:rPr>
      </w:pPr>
      <w:r w:rsidRPr="00986DFE">
        <w:rPr>
          <w:rFonts w:ascii="Arial" w:eastAsia="Arial" w:hAnsi="Arial" w:cs="Arial"/>
          <w:b/>
          <w:sz w:val="20"/>
          <w:lang w:val="sr-Cyrl-RS"/>
        </w:rPr>
        <w:t xml:space="preserve"> </w:t>
      </w:r>
    </w:p>
    <w:p w14:paraId="69489027" w14:textId="77777777" w:rsidR="00F14835" w:rsidRPr="00F14835" w:rsidRDefault="00F14835" w:rsidP="00F14835">
      <w:pPr>
        <w:pBdr>
          <w:top w:val="single" w:sz="4" w:space="0" w:color="000000"/>
          <w:left w:val="single" w:sz="4" w:space="0" w:color="000000"/>
          <w:bottom w:val="single" w:sz="4" w:space="0" w:color="000000"/>
          <w:right w:val="single" w:sz="4" w:space="0" w:color="000000"/>
        </w:pBdr>
        <w:spacing w:after="2" w:line="263" w:lineRule="auto"/>
        <w:ind w:left="108" w:right="97" w:hanging="10"/>
        <w:jc w:val="both"/>
        <w:rPr>
          <w:rFonts w:ascii="Times New Roman" w:eastAsia="Times New Roman" w:hAnsi="Times New Roman" w:cs="Times New Roman"/>
          <w:b/>
          <w:sz w:val="24"/>
          <w:szCs w:val="24"/>
          <w:lang w:val="sr-Cyrl-RS"/>
        </w:rPr>
      </w:pPr>
      <w:r w:rsidRPr="00F14835">
        <w:rPr>
          <w:rFonts w:ascii="Times New Roman" w:eastAsia="Times New Roman" w:hAnsi="Times New Roman" w:cs="Times New Roman"/>
          <w:b/>
          <w:sz w:val="24"/>
          <w:szCs w:val="24"/>
          <w:lang w:val="sr-Cyrl-RS"/>
        </w:rPr>
        <w:t xml:space="preserve">Ime i prezime, odnosno naziv organizacije i institucije: Helsinški odbor za ljudska prava u Srbiji </w:t>
      </w:r>
    </w:p>
    <w:p w14:paraId="3612BD15" w14:textId="70C244F7" w:rsidR="00F14835" w:rsidRPr="00F14835" w:rsidRDefault="00F14835" w:rsidP="00F14835">
      <w:pPr>
        <w:pBdr>
          <w:top w:val="single" w:sz="4" w:space="0" w:color="000000"/>
          <w:left w:val="single" w:sz="4" w:space="0" w:color="000000"/>
          <w:bottom w:val="single" w:sz="4" w:space="0" w:color="000000"/>
          <w:right w:val="single" w:sz="4" w:space="0" w:color="000000"/>
        </w:pBdr>
        <w:spacing w:after="2" w:line="263" w:lineRule="auto"/>
        <w:ind w:left="108" w:right="97" w:hanging="10"/>
        <w:jc w:val="both"/>
        <w:rPr>
          <w:rFonts w:ascii="Times New Roman" w:eastAsia="Times New Roman" w:hAnsi="Times New Roman" w:cs="Times New Roman"/>
          <w:b/>
          <w:sz w:val="24"/>
          <w:szCs w:val="24"/>
          <w:lang w:val="sr-Cyrl-RS"/>
        </w:rPr>
      </w:pPr>
      <w:r w:rsidRPr="00F14835">
        <w:rPr>
          <w:rFonts w:ascii="Times New Roman" w:eastAsia="Times New Roman" w:hAnsi="Times New Roman" w:cs="Times New Roman"/>
          <w:b/>
          <w:sz w:val="24"/>
          <w:szCs w:val="24"/>
          <w:lang w:val="sr-Cyrl-RS"/>
        </w:rPr>
        <w:t xml:space="preserve"> </w:t>
      </w:r>
    </w:p>
    <w:p w14:paraId="07ECA566" w14:textId="77777777" w:rsidR="00F14835" w:rsidRPr="00F14835" w:rsidRDefault="00F14835" w:rsidP="00F14835">
      <w:pPr>
        <w:pBdr>
          <w:top w:val="single" w:sz="4" w:space="0" w:color="000000"/>
          <w:left w:val="single" w:sz="4" w:space="0" w:color="000000"/>
          <w:bottom w:val="single" w:sz="4" w:space="0" w:color="000000"/>
          <w:right w:val="single" w:sz="4" w:space="0" w:color="000000"/>
        </w:pBdr>
        <w:spacing w:after="2" w:line="263" w:lineRule="auto"/>
        <w:ind w:left="108" w:right="97" w:hanging="10"/>
        <w:jc w:val="both"/>
        <w:rPr>
          <w:rFonts w:ascii="Times New Roman" w:eastAsia="Times New Roman" w:hAnsi="Times New Roman" w:cs="Times New Roman"/>
          <w:b/>
          <w:sz w:val="24"/>
          <w:szCs w:val="24"/>
          <w:lang w:val="sr-Cyrl-RS"/>
        </w:rPr>
      </w:pPr>
      <w:r w:rsidRPr="00F14835">
        <w:rPr>
          <w:rFonts w:ascii="Times New Roman" w:eastAsia="Times New Roman" w:hAnsi="Times New Roman" w:cs="Times New Roman"/>
          <w:b/>
          <w:sz w:val="24"/>
          <w:szCs w:val="24"/>
          <w:lang w:val="sr-Cyrl-RS"/>
        </w:rPr>
        <w:t xml:space="preserve">Naziv propisa na koji upućujete predloge, primedbe i sugestije: Predlog nacionalne strategija za procesuiranje ratnih zločina, za period od 2021. do 2026. godine, sa Predlogom akcionog plana za sprovođenje Nacionalne strategije za procesuiranje ratnih zločina, za period od 2021. do 2026. godine </w:t>
      </w:r>
    </w:p>
    <w:p w14:paraId="1C91FA92" w14:textId="77777777" w:rsidR="00F14835" w:rsidRPr="00F14835" w:rsidRDefault="00F14835" w:rsidP="00F14835">
      <w:pPr>
        <w:pBdr>
          <w:top w:val="single" w:sz="4" w:space="0" w:color="000000"/>
          <w:left w:val="single" w:sz="4" w:space="0" w:color="000000"/>
          <w:bottom w:val="single" w:sz="4" w:space="0" w:color="000000"/>
          <w:right w:val="single" w:sz="4" w:space="0" w:color="000000"/>
        </w:pBdr>
        <w:spacing w:after="2" w:line="263" w:lineRule="auto"/>
        <w:ind w:left="108" w:right="97" w:hanging="10"/>
        <w:jc w:val="both"/>
        <w:rPr>
          <w:rFonts w:ascii="Times New Roman" w:eastAsia="Times New Roman" w:hAnsi="Times New Roman" w:cs="Times New Roman"/>
          <w:b/>
          <w:sz w:val="24"/>
          <w:szCs w:val="24"/>
          <w:lang w:val="sr-Cyrl-RS"/>
        </w:rPr>
      </w:pPr>
      <w:r w:rsidRPr="00F14835">
        <w:rPr>
          <w:rFonts w:ascii="Times New Roman" w:eastAsia="Times New Roman" w:hAnsi="Times New Roman" w:cs="Times New Roman"/>
          <w:b/>
          <w:sz w:val="24"/>
          <w:szCs w:val="24"/>
          <w:lang w:val="sr-Cyrl-RS"/>
        </w:rPr>
        <w:t xml:space="preserve"> </w:t>
      </w:r>
    </w:p>
    <w:p w14:paraId="1E3D35C7" w14:textId="55196DA1" w:rsidR="000B3BC1" w:rsidRPr="00986DFE" w:rsidRDefault="00F14835" w:rsidP="00F14835">
      <w:pPr>
        <w:pBdr>
          <w:top w:val="single" w:sz="4" w:space="0" w:color="000000"/>
          <w:left w:val="single" w:sz="4" w:space="0" w:color="000000"/>
          <w:bottom w:val="single" w:sz="4" w:space="0" w:color="000000"/>
          <w:right w:val="single" w:sz="4" w:space="0" w:color="000000"/>
        </w:pBdr>
        <w:spacing w:after="2" w:line="263" w:lineRule="auto"/>
        <w:ind w:left="108" w:right="97" w:hanging="10"/>
        <w:jc w:val="both"/>
        <w:rPr>
          <w:rFonts w:ascii="Times New Roman" w:hAnsi="Times New Roman" w:cs="Times New Roman"/>
          <w:sz w:val="24"/>
          <w:szCs w:val="24"/>
          <w:lang w:val="sr-Cyrl-RS"/>
        </w:rPr>
      </w:pPr>
      <w:r w:rsidRPr="00F14835">
        <w:rPr>
          <w:rFonts w:ascii="Times New Roman" w:eastAsia="Times New Roman" w:hAnsi="Times New Roman" w:cs="Times New Roman"/>
          <w:b/>
          <w:sz w:val="24"/>
          <w:szCs w:val="24"/>
          <w:lang w:val="sr-Cyrl-RS"/>
        </w:rPr>
        <w:t>Datum: 14.9.2021.</w:t>
      </w:r>
    </w:p>
    <w:p w14:paraId="2D44D1EF" w14:textId="77777777" w:rsidR="000B3BC1" w:rsidRPr="00986DFE" w:rsidRDefault="00271B68">
      <w:pPr>
        <w:spacing w:after="0"/>
        <w:rPr>
          <w:lang w:val="sr-Cyrl-RS"/>
        </w:rPr>
      </w:pPr>
      <w:r w:rsidRPr="00986DFE">
        <w:rPr>
          <w:rFonts w:ascii="Arial" w:eastAsia="Arial" w:hAnsi="Arial" w:cs="Arial"/>
          <w:b/>
          <w:sz w:val="20"/>
          <w:lang w:val="sr-Cyrl-RS"/>
        </w:rPr>
        <w:t xml:space="preserve"> </w:t>
      </w:r>
    </w:p>
    <w:p w14:paraId="7C8AB041" w14:textId="4F693686" w:rsidR="000B3BC1" w:rsidRPr="00986DFE" w:rsidRDefault="00271B68" w:rsidP="00F14835">
      <w:pPr>
        <w:spacing w:after="0"/>
        <w:rPr>
          <w:lang w:val="sr-Cyrl-RS"/>
        </w:rPr>
      </w:pPr>
      <w:r w:rsidRPr="00986DFE">
        <w:rPr>
          <w:rFonts w:ascii="Arial" w:eastAsia="Arial" w:hAnsi="Arial" w:cs="Arial"/>
          <w:b/>
          <w:sz w:val="20"/>
          <w:lang w:val="sr-Cyrl-RS"/>
        </w:rPr>
        <w:t xml:space="preserve">  </w:t>
      </w:r>
    </w:p>
    <w:p w14:paraId="6F98B3A8" w14:textId="4FC38E59" w:rsidR="000B3BC1" w:rsidRPr="00986DFE" w:rsidRDefault="00F14835">
      <w:pPr>
        <w:pStyle w:val="Heading1"/>
        <w:ind w:left="345" w:hanging="360"/>
        <w:rPr>
          <w:lang w:val="sr-Cyrl-RS"/>
        </w:rPr>
      </w:pPr>
      <w:r w:rsidRPr="00F14835">
        <w:rPr>
          <w:lang w:val="sr-Cyrl-RS"/>
        </w:rPr>
        <w:t xml:space="preserve">Opšti komentari i sugestije u odnosu na Predlog nacionalne strategije kao celinu  </w:t>
      </w:r>
    </w:p>
    <w:tbl>
      <w:tblPr>
        <w:tblStyle w:val="TableGrid"/>
        <w:tblW w:w="8716" w:type="dxa"/>
        <w:tblInd w:w="5" w:type="dxa"/>
        <w:tblCellMar>
          <w:top w:w="12" w:type="dxa"/>
          <w:left w:w="108" w:type="dxa"/>
          <w:right w:w="115" w:type="dxa"/>
        </w:tblCellMar>
        <w:tblLook w:val="04A0" w:firstRow="1" w:lastRow="0" w:firstColumn="1" w:lastColumn="0" w:noHBand="0" w:noVBand="1"/>
      </w:tblPr>
      <w:tblGrid>
        <w:gridCol w:w="8716"/>
      </w:tblGrid>
      <w:tr w:rsidR="000B3BC1" w:rsidRPr="00986DFE" w14:paraId="66592771" w14:textId="77777777">
        <w:trPr>
          <w:trHeight w:val="3922"/>
        </w:trPr>
        <w:tc>
          <w:tcPr>
            <w:tcW w:w="8716" w:type="dxa"/>
            <w:tcBorders>
              <w:top w:val="single" w:sz="4" w:space="0" w:color="000000"/>
              <w:left w:val="single" w:sz="4" w:space="0" w:color="000000"/>
              <w:bottom w:val="single" w:sz="4" w:space="0" w:color="000000"/>
              <w:right w:val="single" w:sz="4" w:space="0" w:color="000000"/>
            </w:tcBorders>
          </w:tcPr>
          <w:p w14:paraId="7434515D" w14:textId="77777777" w:rsidR="00F14835" w:rsidRPr="00F14835" w:rsidRDefault="00F14835" w:rsidP="00F14835">
            <w:pPr>
              <w:rPr>
                <w:rFonts w:ascii="Times New Roman" w:eastAsia="Arial" w:hAnsi="Times New Roman" w:cs="Times New Roman"/>
                <w:bCs/>
                <w:sz w:val="24"/>
                <w:szCs w:val="24"/>
                <w:lang w:val="sr-Cyrl-RS"/>
              </w:rPr>
            </w:pPr>
            <w:r w:rsidRPr="00F14835">
              <w:rPr>
                <w:rFonts w:ascii="Times New Roman" w:eastAsia="Arial" w:hAnsi="Times New Roman" w:cs="Times New Roman"/>
                <w:bCs/>
                <w:sz w:val="24"/>
                <w:szCs w:val="24"/>
                <w:lang w:val="sr-Cyrl-RS"/>
              </w:rPr>
              <w:t>Predlog strategije ispravno prepoznaje širi društveni značaj procesuiranja ratnih zločina, te predviđa unapređivanje odnosa društva prema suđenjima za ratne zločine kroz osiguravanje transparentnosti sudskih postupaka. U tom smislu opšti cilj Strategije teži izgradnji društvene atmosfere koja pogoduje procesima koji mogu voditi prevazilaženju nasleđa oružanih sukoba. Međutim, uprkos tome, nisu predviđeni posebni ciljevi koji bi bili u službi ostvarivanja datog opšteg cilja. Takođe, vizija i misija Strategije ne reflektuju gore spomenutu težnju da unapređena transparentnost suđenja potpomogne izgradnju društvenog ambijenta tolerancije i pomirenja, onako kako to predviđa opšti cilj Strategije. Ova dva propusta marginalizuju cilj da se unapredi odnos društva prema pitanjima ratnih zločina, čime on ostaje bez neophodne podrške i mehanizama za realizaciju.</w:t>
            </w:r>
          </w:p>
          <w:p w14:paraId="16225712" w14:textId="77777777" w:rsidR="00F14835" w:rsidRPr="00F14835" w:rsidRDefault="00F14835" w:rsidP="00F14835">
            <w:pPr>
              <w:rPr>
                <w:rFonts w:ascii="Times New Roman" w:eastAsia="Arial" w:hAnsi="Times New Roman" w:cs="Times New Roman"/>
                <w:bCs/>
                <w:sz w:val="24"/>
                <w:szCs w:val="24"/>
                <w:lang w:val="sr-Cyrl-RS"/>
              </w:rPr>
            </w:pPr>
          </w:p>
          <w:p w14:paraId="3E7311CD" w14:textId="77777777" w:rsidR="00F14835" w:rsidRPr="00F14835" w:rsidRDefault="00F14835" w:rsidP="00F14835">
            <w:pPr>
              <w:rPr>
                <w:rFonts w:ascii="Times New Roman" w:eastAsia="Arial" w:hAnsi="Times New Roman" w:cs="Times New Roman"/>
                <w:bCs/>
                <w:sz w:val="24"/>
                <w:szCs w:val="24"/>
                <w:lang w:val="sr-Cyrl-RS"/>
              </w:rPr>
            </w:pPr>
            <w:r w:rsidRPr="00F14835">
              <w:rPr>
                <w:rFonts w:ascii="Times New Roman" w:eastAsia="Arial" w:hAnsi="Times New Roman" w:cs="Times New Roman"/>
                <w:bCs/>
                <w:sz w:val="24"/>
                <w:szCs w:val="24"/>
                <w:lang w:val="sr-Cyrl-RS"/>
              </w:rPr>
              <w:t>Pojedini nalazi ex ante analize, prepoznati i u Predlogu strategije kao važne polazne osnove za novi ciklus strateškog pristupa u procesuiranju ratnih zločina, nisu praćeni posebnim merama koje bi osigurale da se rešavanju uočenih problema uopšte pristupi. To je slučaj sa nalazom u oblasti Unapređenje ukupnog odnosa društva prema ratnim zločinima, konkretno sa nalazom da je potrebno „raditi na unapređenju izveštavanja o postupcima za ratne zločine kroz edukacije novinara i organizaciju zajedničkih radionica sa nosiocima pravosudnih funkcija“.</w:t>
            </w:r>
          </w:p>
          <w:p w14:paraId="5F7EAB28" w14:textId="77777777" w:rsidR="00F14835" w:rsidRPr="00F14835" w:rsidRDefault="00F14835" w:rsidP="00F14835">
            <w:pPr>
              <w:rPr>
                <w:rFonts w:ascii="Times New Roman" w:eastAsia="Arial" w:hAnsi="Times New Roman" w:cs="Times New Roman"/>
                <w:bCs/>
                <w:sz w:val="24"/>
                <w:szCs w:val="24"/>
                <w:lang w:val="sr-Cyrl-RS"/>
              </w:rPr>
            </w:pPr>
          </w:p>
          <w:p w14:paraId="6C7BD9A3" w14:textId="1978F487" w:rsidR="000B3BC1" w:rsidRPr="00986DFE" w:rsidRDefault="00F14835" w:rsidP="00F14835">
            <w:pPr>
              <w:rPr>
                <w:rFonts w:ascii="Times New Roman" w:hAnsi="Times New Roman" w:cs="Times New Roman"/>
                <w:sz w:val="24"/>
                <w:szCs w:val="24"/>
                <w:lang w:val="sr-Cyrl-RS"/>
              </w:rPr>
            </w:pPr>
            <w:r w:rsidRPr="00F14835">
              <w:rPr>
                <w:rFonts w:ascii="Times New Roman" w:eastAsia="Arial" w:hAnsi="Times New Roman" w:cs="Times New Roman"/>
                <w:bCs/>
                <w:sz w:val="24"/>
                <w:szCs w:val="24"/>
                <w:lang w:val="sr-Cyrl-RS"/>
              </w:rPr>
              <w:t>Na žalost, odustalo se od traženja sinergijskog pristupa u podizanju svesti javnosti o suđenjima za ratne zločine, koji bi uključio medije, obrazovni sistem i organizacije/institucije koje se bave procesuiranjem ratnih zločina. Takvu sinergiju predviđala je prethodna strategija, kao rezultat konsenzusa svih koji su bili uključeni u njeno oblikovanje o tome da je „rana edukacija na temu konflikata i promovisanje ideja tolerancije, pomirenja i saradnje, značajan korak u izgradnji društva u kome je neprihvatljiva ideja nekažnjivosti zločina“.</w:t>
            </w:r>
            <w:r w:rsidR="00271B68" w:rsidRPr="00986DFE">
              <w:rPr>
                <w:rFonts w:ascii="Times New Roman" w:eastAsia="Arial" w:hAnsi="Times New Roman" w:cs="Times New Roman"/>
                <w:b/>
                <w:sz w:val="24"/>
                <w:szCs w:val="24"/>
                <w:lang w:val="sr-Cyrl-RS"/>
              </w:rPr>
              <w:t xml:space="preserve"> </w:t>
            </w:r>
          </w:p>
        </w:tc>
      </w:tr>
    </w:tbl>
    <w:p w14:paraId="054B032E" w14:textId="77777777" w:rsidR="000B3BC1" w:rsidRPr="00986DFE" w:rsidRDefault="00271B68">
      <w:pPr>
        <w:spacing w:after="0"/>
        <w:rPr>
          <w:lang w:val="sr-Cyrl-RS"/>
        </w:rPr>
      </w:pPr>
      <w:r w:rsidRPr="00986DFE">
        <w:rPr>
          <w:rFonts w:ascii="Arial" w:eastAsia="Arial" w:hAnsi="Arial" w:cs="Arial"/>
          <w:b/>
          <w:sz w:val="20"/>
          <w:lang w:val="sr-Cyrl-RS"/>
        </w:rPr>
        <w:t xml:space="preserve"> </w:t>
      </w:r>
    </w:p>
    <w:p w14:paraId="54EA086B" w14:textId="543CD36D" w:rsidR="000B3BC1" w:rsidRPr="00986DFE" w:rsidRDefault="00F14835" w:rsidP="00F14835">
      <w:pPr>
        <w:pStyle w:val="Heading1"/>
        <w:rPr>
          <w:bCs/>
          <w:lang w:val="sr-Cyrl-RS"/>
        </w:rPr>
      </w:pPr>
      <w:r w:rsidRPr="00F14835">
        <w:rPr>
          <w:lang w:val="sr-Cyrl-RS"/>
        </w:rPr>
        <w:lastRenderedPageBreak/>
        <w:t>Konkretan deo Predloga nacionalne strategije čiju izmenu predlažete i Vaš predlog za izmenu</w:t>
      </w:r>
    </w:p>
    <w:tbl>
      <w:tblPr>
        <w:tblStyle w:val="TableGrid"/>
        <w:tblW w:w="8951" w:type="dxa"/>
        <w:tblInd w:w="-113" w:type="dxa"/>
        <w:tblCellMar>
          <w:top w:w="31" w:type="dxa"/>
          <w:left w:w="113" w:type="dxa"/>
          <w:right w:w="115" w:type="dxa"/>
        </w:tblCellMar>
        <w:tblLook w:val="04A0" w:firstRow="1" w:lastRow="0" w:firstColumn="1" w:lastColumn="0" w:noHBand="0" w:noVBand="1"/>
      </w:tblPr>
      <w:tblGrid>
        <w:gridCol w:w="8951"/>
      </w:tblGrid>
      <w:tr w:rsidR="000B3BC1" w:rsidRPr="00986DFE" w14:paraId="595EE206" w14:textId="77777777" w:rsidTr="00F14835">
        <w:trPr>
          <w:trHeight w:val="3501"/>
        </w:trPr>
        <w:tc>
          <w:tcPr>
            <w:tcW w:w="8951" w:type="dxa"/>
            <w:tcBorders>
              <w:top w:val="single" w:sz="4" w:space="0" w:color="000000"/>
              <w:left w:val="single" w:sz="4" w:space="0" w:color="000000"/>
              <w:bottom w:val="single" w:sz="4" w:space="0" w:color="000000"/>
              <w:right w:val="single" w:sz="4" w:space="0" w:color="000000"/>
            </w:tcBorders>
          </w:tcPr>
          <w:p w14:paraId="3D426267" w14:textId="77777777" w:rsidR="00F14835" w:rsidRPr="00F14835" w:rsidRDefault="00F14835" w:rsidP="00F14835">
            <w:pPr>
              <w:rPr>
                <w:rFonts w:ascii="Times New Roman" w:eastAsia="Arial" w:hAnsi="Times New Roman" w:cs="Times New Roman"/>
                <w:bCs/>
                <w:sz w:val="24"/>
                <w:szCs w:val="24"/>
                <w:lang w:val="sr-Cyrl-RS"/>
              </w:rPr>
            </w:pPr>
            <w:r w:rsidRPr="00F14835">
              <w:rPr>
                <w:rFonts w:ascii="Times New Roman" w:eastAsia="Arial" w:hAnsi="Times New Roman" w:cs="Times New Roman"/>
                <w:bCs/>
                <w:sz w:val="24"/>
                <w:szCs w:val="24"/>
                <w:lang w:val="sr-Cyrl-RS"/>
              </w:rPr>
              <w:t xml:space="preserve">Predvideti posebni cilj koji će biti u direktnoj službi realizacije opšteg cilja da Strategija doprinese izgradnji društvenog ambijenta tolerancije i pomirenja. Imajući  u vidu zakonski okvir za izradu planskih dokumenata, a koji predviđa da strategije kao dokumenti javnih politika mogu imati jedan opšti i do pet posebnih ciljeva, moguće rešenje bilo bi da se Posebni cilj 4: Unapređenje saradnje sa Međunarodnim rezidualnim mehanizmom za krivične sudove i Posebni cilj 5: Unapređenje regionalne i šire međunarodne saradnje i drugih mehanizama u službi tranzicione pravde spoje u jedan posebni cilj, čime bi se otvorio prostor za uvođenje posebnog cilja koji bi omogućio efikasni i sveobuhvatni pristup pitanju unapređenja odnosa društva prema suđenjima za ratne zločine. Budući da se se oba navedena cilja (4 i 5) bave pitanjima međunarodne saradnje, smatramo da je njihova fuzija ne samo moguća već i logična. </w:t>
            </w:r>
          </w:p>
          <w:p w14:paraId="36C5D89E" w14:textId="77777777" w:rsidR="00F14835" w:rsidRPr="00F14835" w:rsidRDefault="00F14835" w:rsidP="00F14835">
            <w:pPr>
              <w:rPr>
                <w:rFonts w:ascii="Times New Roman" w:eastAsia="Arial" w:hAnsi="Times New Roman" w:cs="Times New Roman"/>
                <w:bCs/>
                <w:sz w:val="24"/>
                <w:szCs w:val="24"/>
                <w:lang w:val="sr-Cyrl-RS"/>
              </w:rPr>
            </w:pPr>
          </w:p>
          <w:p w14:paraId="5F13FF03" w14:textId="77777777" w:rsidR="00F14835" w:rsidRPr="00F14835" w:rsidRDefault="00F14835" w:rsidP="00F14835">
            <w:pPr>
              <w:rPr>
                <w:rFonts w:ascii="Times New Roman" w:eastAsia="Arial" w:hAnsi="Times New Roman" w:cs="Times New Roman"/>
                <w:bCs/>
                <w:sz w:val="24"/>
                <w:szCs w:val="24"/>
                <w:lang w:val="sr-Cyrl-RS"/>
              </w:rPr>
            </w:pPr>
            <w:r w:rsidRPr="00F14835">
              <w:rPr>
                <w:rFonts w:ascii="Times New Roman" w:eastAsia="Arial" w:hAnsi="Times New Roman" w:cs="Times New Roman"/>
                <w:bCs/>
                <w:sz w:val="24"/>
                <w:szCs w:val="24"/>
                <w:lang w:val="sr-Cyrl-RS"/>
              </w:rPr>
              <w:t>Meru 5.4. je neophodno unaprediti tako da predviđa proaktivniji pristup svih relevantnih institucija. Mere koje se u tom smislu mogu razmotriti uključuju:</w:t>
            </w:r>
          </w:p>
          <w:p w14:paraId="1D2AF939" w14:textId="5B84AEEA" w:rsidR="00F14835" w:rsidRPr="00F14835" w:rsidRDefault="00F14835" w:rsidP="00F14835">
            <w:pPr>
              <w:pStyle w:val="ListParagraph"/>
              <w:numPr>
                <w:ilvl w:val="0"/>
                <w:numId w:val="13"/>
              </w:numPr>
              <w:ind w:left="567" w:hanging="283"/>
              <w:rPr>
                <w:rFonts w:ascii="Times New Roman" w:eastAsia="Arial" w:hAnsi="Times New Roman" w:cs="Times New Roman"/>
                <w:bCs/>
                <w:sz w:val="24"/>
                <w:szCs w:val="24"/>
                <w:lang w:val="sr-Cyrl-RS"/>
              </w:rPr>
            </w:pPr>
            <w:r w:rsidRPr="00F14835">
              <w:rPr>
                <w:rFonts w:ascii="Times New Roman" w:eastAsia="Arial" w:hAnsi="Times New Roman" w:cs="Times New Roman"/>
                <w:bCs/>
                <w:sz w:val="24"/>
                <w:szCs w:val="24"/>
                <w:lang w:val="sr-Cyrl-RS"/>
              </w:rPr>
              <w:t xml:space="preserve">Kreirati i usvojiti program objektivnog i kontinuiranog informisanja javnosti o suđenjima za ratne zločine, koji će predviđati i mere za promociju činjenica koje su utvrđene u predmetima ratnih zločina. Pokazatelji rezultata: održane konsultacije sa zainteresovanim akterima, uključujući MMKS, organizacije civilnog društva, međunarodnim organizacijama; usvojen program; realizacija programa u određenom periodu. Za realizaciju programa mogu biti zaduženi specijalizovana odeljenja pri Višem i Apelacionom sudu. Sredstva za realizaciju programa se mogu pribaviti između ostalog i iz međunarodnih fondova, donacija, kao i kroz saradnju sa relevantnim organizacijama civilnog društva.  </w:t>
            </w:r>
          </w:p>
          <w:p w14:paraId="30D7576C" w14:textId="62425029" w:rsidR="000B3BC1" w:rsidRDefault="00F14835" w:rsidP="00F14835">
            <w:pPr>
              <w:pStyle w:val="NoSpacing"/>
              <w:numPr>
                <w:ilvl w:val="0"/>
                <w:numId w:val="13"/>
              </w:numPr>
              <w:ind w:left="567" w:hanging="283"/>
              <w:rPr>
                <w:rFonts w:ascii="Times New Roman" w:eastAsia="Arial" w:hAnsi="Times New Roman" w:cs="Times New Roman"/>
                <w:bCs/>
                <w:sz w:val="24"/>
                <w:szCs w:val="24"/>
                <w:lang w:val="sr-Cyrl-RS"/>
              </w:rPr>
            </w:pPr>
            <w:r w:rsidRPr="00F14835">
              <w:rPr>
                <w:rFonts w:ascii="Times New Roman" w:eastAsia="Arial" w:hAnsi="Times New Roman" w:cs="Times New Roman"/>
                <w:bCs/>
                <w:sz w:val="24"/>
                <w:szCs w:val="24"/>
                <w:lang w:val="sr-Cyrl-RS"/>
              </w:rPr>
              <w:t>U Tužilaštvu za ratne zločine i pri odeljenjima za ratne zločine Višeg suda u Beogradu i Apelacionog suda, opredeliti resurse (portparole, PR službe, i sl.) koji će biti zaduženi za proaktivno informisanje javnosti o suđenjima, odnosno sprovođenje programa koji je predložen u prethodnoj tački. Pokazatelji irezultata: uspostavljena PR tela/pozicije; broj obraćanja javnosti putem saopštenja, javnih izlaganja i sl; broj realizovanih mera iz programa informisanja javnosti.</w:t>
            </w:r>
          </w:p>
          <w:p w14:paraId="7596B463" w14:textId="77777777" w:rsidR="00F14835" w:rsidRPr="00986DFE" w:rsidRDefault="00F14835" w:rsidP="00F14835">
            <w:pPr>
              <w:pStyle w:val="NoSpacing"/>
              <w:ind w:left="709" w:hanging="349"/>
              <w:rPr>
                <w:lang w:val="sr-Cyrl-RS"/>
              </w:rPr>
            </w:pPr>
          </w:p>
          <w:p w14:paraId="5CE931F9" w14:textId="77777777" w:rsidR="00F14835" w:rsidRPr="00F14835" w:rsidRDefault="00F14835" w:rsidP="00F14835">
            <w:pPr>
              <w:rPr>
                <w:rFonts w:ascii="Times New Roman" w:hAnsi="Times New Roman" w:cs="Times New Roman"/>
                <w:bCs/>
                <w:sz w:val="24"/>
                <w:szCs w:val="24"/>
                <w:lang w:val="sr-Cyrl-RS"/>
              </w:rPr>
            </w:pPr>
            <w:r w:rsidRPr="00F14835">
              <w:rPr>
                <w:rFonts w:ascii="Times New Roman" w:hAnsi="Times New Roman" w:cs="Times New Roman"/>
                <w:bCs/>
                <w:sz w:val="24"/>
                <w:szCs w:val="24"/>
                <w:lang w:val="sr-Cyrl-RS"/>
              </w:rPr>
              <w:t>Predvideti mere koje će osigurati adekvatnu i efikasnu saradnju sa medijima. Mere koje se mogu uzeti u razmatranje uključuju:</w:t>
            </w:r>
          </w:p>
          <w:p w14:paraId="792EF98A" w14:textId="47A8D58A" w:rsidR="00F14835" w:rsidRPr="00F14835" w:rsidRDefault="00F14835" w:rsidP="00F14835">
            <w:pPr>
              <w:pStyle w:val="ListParagraph"/>
              <w:numPr>
                <w:ilvl w:val="0"/>
                <w:numId w:val="13"/>
              </w:numPr>
              <w:ind w:left="567" w:hanging="283"/>
              <w:rPr>
                <w:rFonts w:ascii="Times New Roman" w:hAnsi="Times New Roman" w:cs="Times New Roman"/>
                <w:bCs/>
                <w:sz w:val="24"/>
                <w:szCs w:val="24"/>
                <w:lang w:val="sr-Cyrl-RS"/>
              </w:rPr>
            </w:pPr>
            <w:r w:rsidRPr="00F14835">
              <w:rPr>
                <w:rFonts w:ascii="Times New Roman" w:hAnsi="Times New Roman" w:cs="Times New Roman"/>
                <w:bCs/>
                <w:sz w:val="24"/>
                <w:szCs w:val="24"/>
                <w:lang w:val="sr-Cyrl-RS"/>
              </w:rPr>
              <w:t>Održavanje redovnih brifing sastanaka sa predstavnicima medija, na kojima bi se oni obavestili o razvoju događaja u pojedinim predmetima, kao i u realizaciji Strategije. Pokazatelji rezultata: broj održanih sastanaka.</w:t>
            </w:r>
          </w:p>
          <w:p w14:paraId="1A282C67" w14:textId="7BC387D5" w:rsidR="00F14835" w:rsidRPr="00F14835" w:rsidRDefault="00F14835" w:rsidP="00F14835">
            <w:pPr>
              <w:pStyle w:val="ListParagraph"/>
              <w:numPr>
                <w:ilvl w:val="0"/>
                <w:numId w:val="13"/>
              </w:numPr>
              <w:ind w:left="567" w:hanging="283"/>
              <w:rPr>
                <w:rFonts w:ascii="Times New Roman" w:hAnsi="Times New Roman" w:cs="Times New Roman"/>
                <w:bCs/>
                <w:sz w:val="24"/>
                <w:szCs w:val="24"/>
                <w:lang w:val="sr-Cyrl-RS"/>
              </w:rPr>
            </w:pPr>
            <w:r w:rsidRPr="00F14835">
              <w:rPr>
                <w:rFonts w:ascii="Times New Roman" w:hAnsi="Times New Roman" w:cs="Times New Roman"/>
                <w:bCs/>
                <w:sz w:val="24"/>
                <w:szCs w:val="24"/>
                <w:lang w:val="sr-Cyrl-RS"/>
              </w:rPr>
              <w:t>Objavljivanje saopštenja za medije o važnim događajima, poput podizanja optužnice, presuđivanja u prvom i drugom stepenu, osvarenoj međunarodnoj saradnji i sl. Pokazatelji rezultata: broj objavljenih saopštenja.</w:t>
            </w:r>
          </w:p>
          <w:p w14:paraId="0A46E8BF" w14:textId="77777777" w:rsidR="00F14835" w:rsidRDefault="00F14835" w:rsidP="00F14835">
            <w:pPr>
              <w:pStyle w:val="ListParagraph"/>
              <w:numPr>
                <w:ilvl w:val="0"/>
                <w:numId w:val="13"/>
              </w:numPr>
              <w:ind w:left="567" w:hanging="283"/>
              <w:rPr>
                <w:rFonts w:ascii="Times New Roman" w:hAnsi="Times New Roman" w:cs="Times New Roman"/>
                <w:bCs/>
                <w:sz w:val="24"/>
                <w:szCs w:val="24"/>
                <w:lang w:val="sr-Cyrl-RS"/>
              </w:rPr>
            </w:pPr>
            <w:r w:rsidRPr="00F14835">
              <w:rPr>
                <w:rFonts w:ascii="Times New Roman" w:hAnsi="Times New Roman" w:cs="Times New Roman"/>
                <w:bCs/>
                <w:sz w:val="24"/>
                <w:szCs w:val="24"/>
                <w:lang w:val="sr-Cyrl-RS"/>
              </w:rPr>
              <w:t xml:space="preserve">Priprema sažetaka predmeta i presuda koji će biti dostupni medijima i javnosti putem zvaničnih internet strana specijalizovanih institucija. Pokazatelji rezultata: pripremljeni sažeci za sve završene predmete, predmete u toku, kao i za prvostepene i drugostepene presude; dostupnost sažetaka na zvaničnim internet stranama relevantnih institucija. </w:t>
            </w:r>
          </w:p>
          <w:p w14:paraId="6AD047E1" w14:textId="57238F8D" w:rsidR="00F83A53" w:rsidRPr="00F14835" w:rsidRDefault="00F14835" w:rsidP="00F14835">
            <w:pPr>
              <w:pStyle w:val="ListParagraph"/>
              <w:numPr>
                <w:ilvl w:val="0"/>
                <w:numId w:val="13"/>
              </w:numPr>
              <w:ind w:left="567" w:hanging="283"/>
              <w:rPr>
                <w:rFonts w:ascii="Times New Roman" w:hAnsi="Times New Roman" w:cs="Times New Roman"/>
                <w:bCs/>
                <w:sz w:val="24"/>
                <w:szCs w:val="24"/>
                <w:lang w:val="sr-Cyrl-RS"/>
              </w:rPr>
            </w:pPr>
            <w:r w:rsidRPr="00F14835">
              <w:rPr>
                <w:rFonts w:ascii="Times New Roman" w:hAnsi="Times New Roman" w:cs="Times New Roman"/>
                <w:bCs/>
                <w:sz w:val="24"/>
                <w:szCs w:val="24"/>
                <w:lang w:val="sr-Cyrl-RS"/>
              </w:rPr>
              <w:t>Audio-video zapise sa suđenja učiniti dostupnim medijima, kao i drugim zainteresovanim stranama, u skladu sa zakonom. Pokazatelj rezultata: broj zahteva za dobijanje snimaka, broj dostavljenih snimaka.</w:t>
            </w:r>
          </w:p>
          <w:p w14:paraId="2CF97CEE" w14:textId="77777777" w:rsidR="00F14835" w:rsidRPr="00986DFE" w:rsidRDefault="00F14835" w:rsidP="00F14835">
            <w:pPr>
              <w:pStyle w:val="ListParagraph"/>
              <w:ind w:left="567" w:hanging="283"/>
              <w:rPr>
                <w:rFonts w:ascii="Times New Roman" w:hAnsi="Times New Roman" w:cs="Times New Roman"/>
                <w:bCs/>
                <w:sz w:val="24"/>
                <w:szCs w:val="24"/>
                <w:lang w:val="sr-Cyrl-RS"/>
              </w:rPr>
            </w:pPr>
          </w:p>
          <w:p w14:paraId="3847C7CB" w14:textId="77777777" w:rsidR="00F14835" w:rsidRPr="00F14835" w:rsidRDefault="00F14835" w:rsidP="00F14835">
            <w:pPr>
              <w:rPr>
                <w:rFonts w:ascii="Times New Roman" w:eastAsia="Arial" w:hAnsi="Times New Roman" w:cs="Times New Roman"/>
                <w:bCs/>
                <w:sz w:val="24"/>
                <w:szCs w:val="24"/>
                <w:lang w:val="sr-Cyrl-RS"/>
              </w:rPr>
            </w:pPr>
            <w:r w:rsidRPr="00F14835">
              <w:rPr>
                <w:rFonts w:ascii="Times New Roman" w:eastAsia="Arial" w:hAnsi="Times New Roman" w:cs="Times New Roman"/>
                <w:bCs/>
                <w:sz w:val="24"/>
                <w:szCs w:val="24"/>
                <w:lang w:val="sr-Cyrl-RS"/>
              </w:rPr>
              <w:t xml:space="preserve">Navedene mere, naročito usvajanje programa informisanja javnosti o suđenjima za ratne zločine, te priprema sažetaka predmeta i presuda, mogu da doprinesu i procesima obrazovanja mladih o nedavnoj prošlosti. Ključni resurs za realizaciju takvog cilja bile bi organizacije civilnog društva, koje već ostvaruju partnerstva sa obrazovnim institucijama, </w:t>
            </w:r>
            <w:r w:rsidRPr="00F14835">
              <w:rPr>
                <w:rFonts w:ascii="Times New Roman" w:eastAsia="Arial" w:hAnsi="Times New Roman" w:cs="Times New Roman"/>
                <w:bCs/>
                <w:sz w:val="24"/>
                <w:szCs w:val="24"/>
                <w:lang w:val="sr-Cyrl-RS"/>
              </w:rPr>
              <w:lastRenderedPageBreak/>
              <w:t>te same realizuju obrazovne programe. Neke od mogućih konkretnih mera koje bi vodile sinergijskom pristupu u podizanju društvene svesti o suđenjima mogu uključiti:</w:t>
            </w:r>
          </w:p>
          <w:p w14:paraId="47671A0B" w14:textId="5786BA5B" w:rsidR="000B3BC1" w:rsidRPr="00F14835" w:rsidRDefault="00F14835" w:rsidP="00F14835">
            <w:pPr>
              <w:pStyle w:val="ListParagraph"/>
              <w:numPr>
                <w:ilvl w:val="0"/>
                <w:numId w:val="15"/>
              </w:numPr>
              <w:ind w:left="567" w:hanging="283"/>
              <w:rPr>
                <w:rFonts w:ascii="Times New Roman" w:eastAsia="Arial" w:hAnsi="Times New Roman" w:cs="Times New Roman"/>
                <w:bCs/>
                <w:sz w:val="24"/>
                <w:szCs w:val="24"/>
                <w:lang w:val="sr-Cyrl-RS"/>
              </w:rPr>
            </w:pPr>
            <w:r w:rsidRPr="00F14835">
              <w:rPr>
                <w:rFonts w:ascii="Times New Roman" w:eastAsia="Arial" w:hAnsi="Times New Roman" w:cs="Times New Roman"/>
                <w:bCs/>
                <w:sz w:val="24"/>
                <w:szCs w:val="24"/>
                <w:lang w:val="sr-Cyrl-RS"/>
              </w:rPr>
              <w:t xml:space="preserve">Uspostavljanje saradnje sa organizacijama civilnog društva u realizaciji programa informisanja javnosti o suđenjima (u slučaju da se ne usvoji predlog mere o programu informisanja: Uspostavljanje saradnje sa organizacijama civilnog društva u informisanju javnosti o suđenjima). Pokazatelj mere: broj zajedničkih akcija/projekata; unapređena svest učesnika akcija/projekata o suđenjima. Sredstva za realizaciju ove mere mogu biti osigurana iz međunarodnih fondova, donacija, te sredstava organizacija civilnog društva. Ova mera bi istovremeno doprinel unapređenju dijaloga sa organizacijama civilnog društva, koje je takođe apostrofirano kao ključno za realizaciju strategije, te za koje postoji i posebna mera u Akcionom planu (5.3).   </w:t>
            </w:r>
          </w:p>
        </w:tc>
      </w:tr>
    </w:tbl>
    <w:p w14:paraId="657309FF" w14:textId="77777777" w:rsidR="000B3BC1" w:rsidRPr="00986DFE" w:rsidRDefault="00271B68" w:rsidP="00F14835">
      <w:pPr>
        <w:spacing w:after="0"/>
        <w:rPr>
          <w:lang w:val="sr-Cyrl-RS"/>
        </w:rPr>
      </w:pPr>
      <w:r w:rsidRPr="00986DFE">
        <w:rPr>
          <w:rFonts w:ascii="Times New Roman" w:eastAsia="Times New Roman" w:hAnsi="Times New Roman" w:cs="Times New Roman"/>
          <w:sz w:val="24"/>
          <w:lang w:val="sr-Cyrl-RS"/>
        </w:rPr>
        <w:lastRenderedPageBreak/>
        <w:t xml:space="preserve"> </w:t>
      </w:r>
    </w:p>
    <w:p w14:paraId="4E6F872F" w14:textId="01DA284B" w:rsidR="000B3BC1" w:rsidRPr="00986DFE" w:rsidRDefault="00F14835">
      <w:pPr>
        <w:pStyle w:val="Heading1"/>
        <w:ind w:left="225" w:hanging="240"/>
        <w:rPr>
          <w:lang w:val="sr-Cyrl-RS"/>
        </w:rPr>
      </w:pPr>
      <w:r w:rsidRPr="00F14835">
        <w:rPr>
          <w:lang w:val="sr-Cyrl-RS"/>
        </w:rPr>
        <w:t>Obrazloženje upućenog predloga za izmenu Predloga nacionalne strategije</w:t>
      </w:r>
    </w:p>
    <w:tbl>
      <w:tblPr>
        <w:tblStyle w:val="TableGrid"/>
        <w:tblW w:w="8951" w:type="dxa"/>
        <w:tblInd w:w="-113" w:type="dxa"/>
        <w:tblCellMar>
          <w:top w:w="31" w:type="dxa"/>
          <w:left w:w="113" w:type="dxa"/>
          <w:right w:w="115" w:type="dxa"/>
        </w:tblCellMar>
        <w:tblLook w:val="04A0" w:firstRow="1" w:lastRow="0" w:firstColumn="1" w:lastColumn="0" w:noHBand="0" w:noVBand="1"/>
      </w:tblPr>
      <w:tblGrid>
        <w:gridCol w:w="8951"/>
      </w:tblGrid>
      <w:tr w:rsidR="000B3BC1" w:rsidRPr="00986DFE" w14:paraId="59D51F45" w14:textId="77777777" w:rsidTr="00F14835">
        <w:trPr>
          <w:trHeight w:val="666"/>
        </w:trPr>
        <w:tc>
          <w:tcPr>
            <w:tcW w:w="8951" w:type="dxa"/>
            <w:tcBorders>
              <w:top w:val="single" w:sz="4" w:space="0" w:color="000000"/>
              <w:left w:val="single" w:sz="4" w:space="0" w:color="000000"/>
              <w:bottom w:val="single" w:sz="4" w:space="0" w:color="000000"/>
              <w:right w:val="single" w:sz="4" w:space="0" w:color="000000"/>
            </w:tcBorders>
          </w:tcPr>
          <w:p w14:paraId="16162F02" w14:textId="77777777" w:rsidR="00F14835" w:rsidRPr="00F14835" w:rsidRDefault="00F14835" w:rsidP="00F14835">
            <w:pPr>
              <w:rPr>
                <w:rFonts w:ascii="Times New Roman" w:hAnsi="Times New Roman" w:cs="Times New Roman"/>
                <w:sz w:val="24"/>
                <w:szCs w:val="24"/>
                <w:lang w:val="sr-Cyrl-RS"/>
              </w:rPr>
            </w:pPr>
            <w:r w:rsidRPr="00F14835">
              <w:rPr>
                <w:rFonts w:ascii="Times New Roman" w:hAnsi="Times New Roman" w:cs="Times New Roman"/>
                <w:sz w:val="24"/>
                <w:szCs w:val="24"/>
                <w:lang w:val="sr-Cyrl-RS"/>
              </w:rPr>
              <w:t>Promena ukupnog odnosa društva prema suđenjima za ratne zločine, kojoj ovaj predlog strategije teži prepoznajući u tome važan element mehanizama tranzicione pravde (str. 50 Predloga strategije), temelji se na pravu na istinu kao jednom od ključnih principa tranzicione pravde. Ono predviđa neotuđivo pravo porodica žrtava ali i javnosti da znaju punu istinu o teškim kršenjima ljudskih prava koja su počinjena u kotekstu oružanih sukoba. Kao takvo je prepoznato u nekoliko međunarodnih instrumenata, čiji je i Srbija član, inicijator, ili potpisnica. Među njima su instrumenti Ujedinjenih nacija (Međunarodni pakt o građanskim i političkim pravima; Ažurirani skup principa za zaštitu i promociju ljudskih prava kroz borbu protiv nekažnjivosti; Rezolucija Saveta bezbednosti o pravu na istinu, Rezolucija Saveta UN za ljudska prava o pravu na istinu) i Saveta Evrope (Evropska konvencija o ljudskim pravima i osnovnim slobodama; Smernice Komiteta ministara Saveta Evrope o iskorenjivanju nekažnjivosti za teške povrede ljudskih prava, Evropska konvencija o pristupu zvaničnim dokumentima). Pored toga, kao kandidata za članstvo u Evropskoj uniji (EU), Srbiju u pogledu obaveze osiguranja prava na istinu obavezuje i niz instrumenata EU, među kojima važno mesto zauzima Okvirna politika EU o podršci tranzicionoj pravdi. Osim što pravo na istinu prepoznaje kao princip tranzicione pravde, ova Politika utvrđuje da je poštovanje tog i drugih principa tranzicione pravde prioritet za države koje streme članstvu.</w:t>
            </w:r>
          </w:p>
          <w:p w14:paraId="6C162F99" w14:textId="77777777" w:rsidR="00F14835" w:rsidRPr="00F14835" w:rsidRDefault="00F14835" w:rsidP="00F14835">
            <w:pPr>
              <w:rPr>
                <w:rFonts w:ascii="Times New Roman" w:hAnsi="Times New Roman" w:cs="Times New Roman"/>
                <w:sz w:val="24"/>
                <w:szCs w:val="24"/>
                <w:lang w:val="sr-Cyrl-RS"/>
              </w:rPr>
            </w:pPr>
            <w:r w:rsidRPr="00F14835">
              <w:rPr>
                <w:rFonts w:ascii="Times New Roman" w:hAnsi="Times New Roman" w:cs="Times New Roman"/>
                <w:sz w:val="24"/>
                <w:szCs w:val="24"/>
                <w:lang w:val="sr-Cyrl-RS"/>
              </w:rPr>
              <w:t xml:space="preserve">Suđenja za ratne zločine predstavljaju jedan od prioritetnih mehanizama za ostvarivanje prava na istinu, zbog čega je veća transparentnost procesa koji se vode pred sudovima u Srbiji, a koju predviđa i ovaj Predlog strategije, važna i neophodna. Međutim, ona to nije samo zbog međunarodnih obaveza Srbije, ili ispunjavanja kriterijuma za zatvaranje relevantnih poglavlja u pregovorima o članstvu u EU. Veća transparetnost suđenja važna je pre svega zato što se njome može izgraditi široka društvena podrška suđenjima, od koje zavisi i njihova efikasnost. Suđenja se ne odvijaju u vakuumu, već u određenom društveno-političkom kontekstu. Ukoliko politička opredeljenost utvrđivanju krivične pravde za počinjene zločine nije praćena i društvenom saglasnošću, čak i najveća dostignuća u ostvarivanju pravde neće imati značaj izvan onog koji donose porodicama žrtava. Takva društvena saglasnost moguća je jedino ukoliko se građani Srbije redovno, pravovremeno i objektivno informišu o sudskim procesima, odnosno o predmetnim događajima. Uz političku opredeljenost i profilisani društveni interes za suđenja, specijalizovane institucije za procesuiranje ratnih zločina biće dodatno osnažene za realizaciju Strategije i unapređivanje efikasnosti samih suđenja. Takav napredak imao bi pozitivne efekte na niz oblasti, među kojima se izdvajaju vladavina prava, regionalna saradnja i dobrosusedski odnosi. Ovakav značaj odnosa društva prema suđenjima za ratne zločine uslovljava da i pristup koji ima za cilj da podigne društvenu svest prioritizuje one mere koje tome mogu doprineti. To se može postići jedino strateškom usmerenošću ka datom cilju, koji je praćen i podržan adekvatnim merama. Ukoliko se zadrži sadašnji </w:t>
            </w:r>
            <w:r w:rsidRPr="00F14835">
              <w:rPr>
                <w:rFonts w:ascii="Times New Roman" w:hAnsi="Times New Roman" w:cs="Times New Roman"/>
                <w:sz w:val="24"/>
                <w:szCs w:val="24"/>
                <w:lang w:val="sr-Cyrl-RS"/>
              </w:rPr>
              <w:lastRenderedPageBreak/>
              <w:t>pristup da se unapređivanje odnosa društva tretira kroz samo jednu meru i bez posebne ciljne usmerenosti, fokus institucija vrlo lako i sasvim izvesno može da se preusmeri na druge oblasti.</w:t>
            </w:r>
          </w:p>
          <w:p w14:paraId="2A2CF28D" w14:textId="77777777" w:rsidR="00F14835" w:rsidRPr="00F14835" w:rsidRDefault="00F14835" w:rsidP="00F14835">
            <w:pPr>
              <w:rPr>
                <w:rFonts w:ascii="Times New Roman" w:hAnsi="Times New Roman" w:cs="Times New Roman"/>
                <w:sz w:val="24"/>
                <w:szCs w:val="24"/>
                <w:lang w:val="sr-Cyrl-RS"/>
              </w:rPr>
            </w:pPr>
          </w:p>
          <w:p w14:paraId="1961C957" w14:textId="77777777" w:rsidR="00F14835" w:rsidRPr="00F14835" w:rsidRDefault="00F14835" w:rsidP="00F14835">
            <w:pPr>
              <w:rPr>
                <w:rFonts w:ascii="Times New Roman" w:hAnsi="Times New Roman" w:cs="Times New Roman"/>
                <w:sz w:val="24"/>
                <w:szCs w:val="24"/>
                <w:lang w:val="sr-Cyrl-RS"/>
              </w:rPr>
            </w:pPr>
            <w:r w:rsidRPr="00F14835">
              <w:rPr>
                <w:rFonts w:ascii="Times New Roman" w:hAnsi="Times New Roman" w:cs="Times New Roman"/>
                <w:sz w:val="24"/>
                <w:szCs w:val="24"/>
                <w:lang w:val="sr-Cyrl-RS"/>
              </w:rPr>
              <w:t xml:space="preserve">O neophodnosti aktivnog i kontinuiranog angažmana na polju informisanja građana dovoljno govore nalazi istraživanja javnog mnjenja prema kojima je obaveštenost građana o suđenjima za ratne zločine veoma skromna (63% loše obavešteno), i sa tendencijom pogoršanja (sa 59% loše obaveštenih 2017. godine na 63% 2020. godine). Pri tom, trend pogoršanja je nastupio u vreme sprovođenja prve nacionalne strategije za procesuiranje ratnih zločina, koja je ka  unapređenom odnosu društva prema suđenjima za ratne zločine takođe stremila putem niza pasivnih mera. Činjenica da je došlo do pogoršanja, umesto do poboljšanja, govori u prilog potrebi da se pristup promeni iz pasivnog u proaktivni. </w:t>
            </w:r>
          </w:p>
          <w:p w14:paraId="5775D855" w14:textId="77777777" w:rsidR="00F14835" w:rsidRPr="00F14835" w:rsidRDefault="00F14835" w:rsidP="00F14835">
            <w:pPr>
              <w:rPr>
                <w:rFonts w:ascii="Times New Roman" w:hAnsi="Times New Roman" w:cs="Times New Roman"/>
                <w:sz w:val="24"/>
                <w:szCs w:val="24"/>
                <w:lang w:val="sr-Cyrl-RS"/>
              </w:rPr>
            </w:pPr>
            <w:r w:rsidRPr="00F14835">
              <w:rPr>
                <w:rFonts w:ascii="Times New Roman" w:hAnsi="Times New Roman" w:cs="Times New Roman"/>
                <w:sz w:val="24"/>
                <w:szCs w:val="24"/>
                <w:lang w:val="sr-Cyrl-RS"/>
              </w:rPr>
              <w:t xml:space="preserve">Mere koje su predložene u Predlogu akcionog plana za sprovođenje strategije mogu biti dovoljne za informisanje užeg kruga građana, i to uglavnom onih koji pripadaju zainteresovanim stranama. Takozvanim „običnim građanima“, odnosno građanima Srbije koji nisu profesionalno ili iz lične zainteresovanosti motivisani da traže informacije neće mnogo značiti što će se relevantne internet stranice redovno ažurirati novim informacijama. To naravno jeste potrebno i poželjno, ali je nephodno sa tim informacijama iskoračiti ka građanima kako bi se osiguralo da oni date informacije dobiju i razumeju. </w:t>
            </w:r>
          </w:p>
          <w:p w14:paraId="5EF92AE4" w14:textId="77777777" w:rsidR="00F14835" w:rsidRPr="00F14835" w:rsidRDefault="00F14835" w:rsidP="00F14835">
            <w:pPr>
              <w:rPr>
                <w:rFonts w:ascii="Times New Roman" w:hAnsi="Times New Roman" w:cs="Times New Roman"/>
                <w:sz w:val="24"/>
                <w:szCs w:val="24"/>
                <w:lang w:val="sr-Cyrl-RS"/>
              </w:rPr>
            </w:pPr>
            <w:r w:rsidRPr="00F14835">
              <w:rPr>
                <w:rFonts w:ascii="Times New Roman" w:hAnsi="Times New Roman" w:cs="Times New Roman"/>
                <w:sz w:val="24"/>
                <w:szCs w:val="24"/>
                <w:lang w:val="sr-Cyrl-RS"/>
              </w:rPr>
              <w:t xml:space="preserve">Slično tome, procenat odgovorenih zahteva za pristup informacijama od javnog značaja nema dovoljnu snagu da utiče da širu društvenu svest. Pre svega, takvi zahtevi se u najvećem broju slučajeva šalju od specijalizovanih aktera, poput stručnjaka, istraživača, organizacija civilnog društva i sl, koji su potom i adresati za odgovor institucije. Šira javnost može o datom odgovoru biti obaveštena jedino ukoliko to učini akter koji je tražio i dobio odgovor, u kom slučaju se informisanje javnosti izmešta iz institucija i prebacuje na njega. U tom slučaju, ne može se govoriti o aktivnosti koju je ispunila institucija kao deo realizacije Strategije i Akcionog plana za njeno sprovođenje.   </w:t>
            </w:r>
          </w:p>
          <w:p w14:paraId="17EF49E4" w14:textId="77777777" w:rsidR="00F14835" w:rsidRPr="00F14835" w:rsidRDefault="00F14835" w:rsidP="00F14835">
            <w:pPr>
              <w:rPr>
                <w:rFonts w:ascii="Times New Roman" w:hAnsi="Times New Roman" w:cs="Times New Roman"/>
                <w:sz w:val="24"/>
                <w:szCs w:val="24"/>
                <w:lang w:val="sr-Cyrl-RS"/>
              </w:rPr>
            </w:pPr>
            <w:r w:rsidRPr="00F14835">
              <w:rPr>
                <w:rFonts w:ascii="Times New Roman" w:hAnsi="Times New Roman" w:cs="Times New Roman"/>
                <w:sz w:val="24"/>
                <w:szCs w:val="24"/>
                <w:lang w:val="sr-Cyrl-RS"/>
              </w:rPr>
              <w:t xml:space="preserve"> </w:t>
            </w:r>
          </w:p>
          <w:p w14:paraId="51F27A3B" w14:textId="35C86F78" w:rsidR="00F14835" w:rsidRPr="00F14835" w:rsidRDefault="00F14835" w:rsidP="00F14835">
            <w:pPr>
              <w:rPr>
                <w:rFonts w:ascii="Times New Roman" w:hAnsi="Times New Roman" w:cs="Times New Roman"/>
                <w:sz w:val="24"/>
                <w:szCs w:val="24"/>
                <w:lang w:val="sr-Cyrl-RS"/>
              </w:rPr>
            </w:pPr>
            <w:r w:rsidRPr="00F14835">
              <w:rPr>
                <w:rFonts w:ascii="Times New Roman" w:hAnsi="Times New Roman" w:cs="Times New Roman"/>
                <w:i/>
                <w:iCs/>
                <w:sz w:val="24"/>
                <w:szCs w:val="24"/>
                <w:lang w:val="sr-Cyrl-RS"/>
              </w:rPr>
              <w:t xml:space="preserve">Ex ante </w:t>
            </w:r>
            <w:r w:rsidRPr="00F14835">
              <w:rPr>
                <w:rFonts w:ascii="Times New Roman" w:hAnsi="Times New Roman" w:cs="Times New Roman"/>
                <w:sz w:val="24"/>
                <w:szCs w:val="24"/>
                <w:lang w:val="sr-Cyrl-RS"/>
              </w:rPr>
              <w:t>analiza pokazala je da je u narednom ciklusu strateškog pristupa procesuiranju ratnih zločina potrebno raditi na unapređ</w:t>
            </w:r>
            <w:proofErr w:type="spellStart"/>
            <w:r>
              <w:rPr>
                <w:rFonts w:ascii="Times New Roman" w:hAnsi="Times New Roman" w:cs="Times New Roman"/>
                <w:sz w:val="24"/>
                <w:szCs w:val="24"/>
                <w:lang w:val="en-US"/>
              </w:rPr>
              <w:t>ivanju</w:t>
            </w:r>
            <w:proofErr w:type="spellEnd"/>
            <w:r w:rsidRPr="00F14835">
              <w:rPr>
                <w:rFonts w:ascii="Times New Roman" w:hAnsi="Times New Roman" w:cs="Times New Roman"/>
                <w:sz w:val="24"/>
                <w:szCs w:val="24"/>
                <w:lang w:val="sr-Cyrl-RS"/>
              </w:rPr>
              <w:t xml:space="preserve"> izveštavanja o postupcima za ratne zločine kroz edukacije novinara i organizaciju zajedničkih radionica sa nosiocima pravosudnih funkcija (str. 54 Analize i</w:t>
            </w:r>
            <w:bookmarkStart w:id="0" w:name="_GoBack"/>
            <w:bookmarkEnd w:id="0"/>
            <w:r w:rsidRPr="00F14835">
              <w:rPr>
                <w:rFonts w:ascii="Times New Roman" w:hAnsi="Times New Roman" w:cs="Times New Roman"/>
                <w:sz w:val="24"/>
                <w:szCs w:val="24"/>
                <w:lang w:val="sr-Cyrl-RS"/>
              </w:rPr>
              <w:t xml:space="preserve"> 52 Predloga strategije). Međutim, akcioni plan ne predviđa mere koje bi bile usmerene ka ovom cilju. Jedina mera Akcionog plana usmerena na medije odnosi se na njihovo uključivanje u informisanje javnsoti o položaju oštećenih i svedoka u postupcima za ratne zločine (mera 2.10). Željeni napredak u izveštavanju o postupcima za ratne zločine nije moguće postići ukoliko se ka tom cilju ne predvide adekvatne i posebne mere, koje će predviđati proaktivno angažovanje specijalizovanih institucija.</w:t>
            </w:r>
          </w:p>
          <w:p w14:paraId="5E48116F" w14:textId="77777777" w:rsidR="00F14835" w:rsidRPr="00F14835" w:rsidRDefault="00F14835" w:rsidP="00F14835">
            <w:pPr>
              <w:rPr>
                <w:rFonts w:ascii="Times New Roman" w:hAnsi="Times New Roman" w:cs="Times New Roman"/>
                <w:sz w:val="24"/>
                <w:szCs w:val="24"/>
                <w:lang w:val="sr-Cyrl-RS"/>
              </w:rPr>
            </w:pPr>
          </w:p>
          <w:p w14:paraId="21F547ED" w14:textId="5A39093D" w:rsidR="000B3BC1" w:rsidRPr="00F14835" w:rsidRDefault="00F14835">
            <w:pPr>
              <w:rPr>
                <w:rFonts w:ascii="Times New Roman" w:hAnsi="Times New Roman" w:cs="Times New Roman"/>
                <w:bCs/>
                <w:sz w:val="24"/>
                <w:szCs w:val="24"/>
                <w:lang w:val="sr-Cyrl-RS"/>
              </w:rPr>
            </w:pPr>
            <w:r w:rsidRPr="00F14835">
              <w:rPr>
                <w:rFonts w:ascii="Times New Roman" w:hAnsi="Times New Roman" w:cs="Times New Roman"/>
                <w:sz w:val="24"/>
                <w:szCs w:val="24"/>
                <w:lang w:val="sr-Cyrl-RS"/>
              </w:rPr>
              <w:t>Uprkos tome što Predlog strategije ne stremi unapređivanju obrazovnih programa tako da mladim ponudi činjenice o događajima iz prošlosti koje utiču i na njihovu sadašnjost, ažuriranje sa merama koje su ovde predložene može značajno da doprinese da jedan od pozitivnih uticaja strategije bude baš na polju obrazovanja. Da je neophodno mlade obrazovati o nedavnoj prošlosti svedoče i podaci iz istraživanja stavova mladih, prema kojima srednjoškolci nemaju dovoljno znanja o ratnim sukobima tokom 1990-ih, ali imaju značajan kapacitet da zagovaraju mirno rešavanje sporova (videti: Marija Radoman, 2019. „Vrednosne orijentacije srednjoškolaca“, Helsinški odbor za ljudska prava u Srbiji). Neka ranija istraživanja javnog mnjenja takođe svedoče o poraznoj neinformisanosti mladih, gde značajan procenat njih nije čulo za opsadu Sarajeva tokom rata u Bosni i Hercegovini, ili gde je čak njih  84% neobavešteno o stradanju Srba tokom ratova 1990-ih (videti: Demostat, 2017. „Obaveštenost građana Srbije o ratovima 1990-ih godina, ratnim zločinima i suđenjima optuženima za ratne zločine“).</w:t>
            </w:r>
          </w:p>
        </w:tc>
      </w:tr>
    </w:tbl>
    <w:p w14:paraId="2227F394" w14:textId="4D497F6B" w:rsidR="000B3BC1" w:rsidRPr="00986DFE" w:rsidRDefault="000B3BC1" w:rsidP="00F14835">
      <w:pPr>
        <w:spacing w:after="0"/>
        <w:rPr>
          <w:lang w:val="sr-Cyrl-RS"/>
        </w:rPr>
      </w:pPr>
    </w:p>
    <w:sectPr w:rsidR="000B3BC1" w:rsidRPr="00986DFE">
      <w:footerReference w:type="default" r:id="rId7"/>
      <w:pgSz w:w="11906" w:h="16841"/>
      <w:pgMar w:top="715" w:right="1381" w:bottom="70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3E6A9" w14:textId="77777777" w:rsidR="00950554" w:rsidRDefault="00950554" w:rsidP="00AB1B1C">
      <w:pPr>
        <w:spacing w:after="0" w:line="240" w:lineRule="auto"/>
      </w:pPr>
      <w:r>
        <w:separator/>
      </w:r>
    </w:p>
  </w:endnote>
  <w:endnote w:type="continuationSeparator" w:id="0">
    <w:p w14:paraId="682D6B87" w14:textId="77777777" w:rsidR="00950554" w:rsidRDefault="00950554" w:rsidP="00AB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628199"/>
      <w:docPartObj>
        <w:docPartGallery w:val="Page Numbers (Bottom of Page)"/>
        <w:docPartUnique/>
      </w:docPartObj>
    </w:sdtPr>
    <w:sdtEndPr>
      <w:rPr>
        <w:noProof/>
      </w:rPr>
    </w:sdtEndPr>
    <w:sdtContent>
      <w:p w14:paraId="57C1E3D4" w14:textId="062CFBC1" w:rsidR="00AB1B1C" w:rsidRDefault="00AB1B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8DCC86" w14:textId="77777777" w:rsidR="00AB1B1C" w:rsidRDefault="00AB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D7768" w14:textId="77777777" w:rsidR="00950554" w:rsidRDefault="00950554" w:rsidP="00AB1B1C">
      <w:pPr>
        <w:spacing w:after="0" w:line="240" w:lineRule="auto"/>
      </w:pPr>
      <w:r>
        <w:separator/>
      </w:r>
    </w:p>
  </w:footnote>
  <w:footnote w:type="continuationSeparator" w:id="0">
    <w:p w14:paraId="596092F1" w14:textId="77777777" w:rsidR="00950554" w:rsidRDefault="00950554" w:rsidP="00AB1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38A4"/>
    <w:multiLevelType w:val="hybridMultilevel"/>
    <w:tmpl w:val="57BAFF04"/>
    <w:lvl w:ilvl="0" w:tplc="D11CA50C">
      <w:start w:val="1"/>
      <w:numFmt w:val="bullet"/>
      <w:lvlText w:val="a"/>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373DA2"/>
    <w:multiLevelType w:val="hybridMultilevel"/>
    <w:tmpl w:val="AE706E5A"/>
    <w:lvl w:ilvl="0" w:tplc="4A82B00E">
      <w:numFmt w:val="bullet"/>
      <w:lvlText w:val="-"/>
      <w:lvlJc w:val="left"/>
      <w:pPr>
        <w:ind w:left="1065" w:hanging="705"/>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625E8"/>
    <w:multiLevelType w:val="hybridMultilevel"/>
    <w:tmpl w:val="9EE8B838"/>
    <w:lvl w:ilvl="0" w:tplc="65F04014">
      <w:start w:val="3"/>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5090DB0"/>
    <w:multiLevelType w:val="hybridMultilevel"/>
    <w:tmpl w:val="81D448F0"/>
    <w:lvl w:ilvl="0" w:tplc="4A82B00E">
      <w:numFmt w:val="bullet"/>
      <w:lvlText w:val="-"/>
      <w:lvlJc w:val="left"/>
      <w:pPr>
        <w:ind w:left="1065" w:hanging="705"/>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A02F0"/>
    <w:multiLevelType w:val="hybridMultilevel"/>
    <w:tmpl w:val="51685E30"/>
    <w:lvl w:ilvl="0" w:tplc="D11CA50C">
      <w:start w:val="1"/>
      <w:numFmt w:val="bullet"/>
      <w:lvlText w:val="a"/>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316E1303"/>
    <w:multiLevelType w:val="multilevel"/>
    <w:tmpl w:val="6C045E1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FF3EE0"/>
    <w:multiLevelType w:val="multilevel"/>
    <w:tmpl w:val="134CBC7C"/>
    <w:lvl w:ilvl="0">
      <w:start w:val="2"/>
      <w:numFmt w:val="decimal"/>
      <w:lvlText w:val="%1."/>
      <w:lvlJc w:val="left"/>
      <w:pPr>
        <w:ind w:left="360" w:hanging="360"/>
      </w:pPr>
      <w:rPr>
        <w:rFonts w:eastAsia="Arial" w:hint="default"/>
        <w:b/>
      </w:rPr>
    </w:lvl>
    <w:lvl w:ilvl="1">
      <w:start w:val="1"/>
      <w:numFmt w:val="decimal"/>
      <w:lvlText w:val="%1.%2."/>
      <w:lvlJc w:val="left"/>
      <w:pPr>
        <w:ind w:left="360" w:hanging="360"/>
      </w:pPr>
      <w:rPr>
        <w:rFonts w:eastAsia="Arial" w:hint="default"/>
        <w:b w:val="0"/>
        <w:bCs w:val="0"/>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7" w15:restartNumberingAfterBreak="0">
    <w:nsid w:val="47AB3FE8"/>
    <w:multiLevelType w:val="hybridMultilevel"/>
    <w:tmpl w:val="B43CCE20"/>
    <w:lvl w:ilvl="0" w:tplc="4A82B00E">
      <w:numFmt w:val="bullet"/>
      <w:lvlText w:val="-"/>
      <w:lvlJc w:val="left"/>
      <w:pPr>
        <w:ind w:left="1065" w:hanging="705"/>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13205"/>
    <w:multiLevelType w:val="hybridMultilevel"/>
    <w:tmpl w:val="42D66048"/>
    <w:lvl w:ilvl="0" w:tplc="CE6A48D8">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56776286"/>
    <w:multiLevelType w:val="hybridMultilevel"/>
    <w:tmpl w:val="EF9E30C0"/>
    <w:lvl w:ilvl="0" w:tplc="CE6A48D8">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EEA78E8"/>
    <w:multiLevelType w:val="hybridMultilevel"/>
    <w:tmpl w:val="7C403B7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660E77F2"/>
    <w:multiLevelType w:val="hybridMultilevel"/>
    <w:tmpl w:val="BA70D406"/>
    <w:lvl w:ilvl="0" w:tplc="D11CA50C">
      <w:start w:val="1"/>
      <w:numFmt w:val="bullet"/>
      <w:lvlText w:val="a"/>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67DB169A"/>
    <w:multiLevelType w:val="hybridMultilevel"/>
    <w:tmpl w:val="9CF0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C300C"/>
    <w:multiLevelType w:val="hybridMultilevel"/>
    <w:tmpl w:val="0E2852FE"/>
    <w:lvl w:ilvl="0" w:tplc="651074A2">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20A4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8E57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A018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AE8E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B659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B62FE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E89A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0CBD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E7E37D4"/>
    <w:multiLevelType w:val="hybridMultilevel"/>
    <w:tmpl w:val="C1DA4FA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3"/>
  </w:num>
  <w:num w:numId="2">
    <w:abstractNumId w:val="5"/>
  </w:num>
  <w:num w:numId="3">
    <w:abstractNumId w:val="6"/>
  </w:num>
  <w:num w:numId="4">
    <w:abstractNumId w:val="2"/>
  </w:num>
  <w:num w:numId="5">
    <w:abstractNumId w:val="14"/>
  </w:num>
  <w:num w:numId="6">
    <w:abstractNumId w:val="4"/>
  </w:num>
  <w:num w:numId="7">
    <w:abstractNumId w:val="11"/>
  </w:num>
  <w:num w:numId="8">
    <w:abstractNumId w:val="0"/>
  </w:num>
  <w:num w:numId="9">
    <w:abstractNumId w:val="9"/>
  </w:num>
  <w:num w:numId="10">
    <w:abstractNumId w:val="8"/>
  </w:num>
  <w:num w:numId="11">
    <w:abstractNumId w:val="10"/>
  </w:num>
  <w:num w:numId="12">
    <w:abstractNumId w:val="12"/>
  </w:num>
  <w:num w:numId="13">
    <w:abstractNumId w:val="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wNDc3NzYyNbQ0MDZQ0lEKTi0uzszPAykwqwUASpVKniwAAAA="/>
  </w:docVars>
  <w:rsids>
    <w:rsidRoot w:val="000B3BC1"/>
    <w:rsid w:val="00013050"/>
    <w:rsid w:val="00013552"/>
    <w:rsid w:val="00020563"/>
    <w:rsid w:val="00022F36"/>
    <w:rsid w:val="0005155F"/>
    <w:rsid w:val="00061269"/>
    <w:rsid w:val="00062BE7"/>
    <w:rsid w:val="000663C8"/>
    <w:rsid w:val="00073152"/>
    <w:rsid w:val="000763A0"/>
    <w:rsid w:val="0009171A"/>
    <w:rsid w:val="000B3BC1"/>
    <w:rsid w:val="000B47EB"/>
    <w:rsid w:val="000B7A8F"/>
    <w:rsid w:val="000E4ACF"/>
    <w:rsid w:val="000E726D"/>
    <w:rsid w:val="00106010"/>
    <w:rsid w:val="00133E76"/>
    <w:rsid w:val="0017190B"/>
    <w:rsid w:val="0017493E"/>
    <w:rsid w:val="001955AA"/>
    <w:rsid w:val="00213D22"/>
    <w:rsid w:val="0022503B"/>
    <w:rsid w:val="00240108"/>
    <w:rsid w:val="00271B68"/>
    <w:rsid w:val="00287EE6"/>
    <w:rsid w:val="002A3C51"/>
    <w:rsid w:val="002A7FE0"/>
    <w:rsid w:val="002E338B"/>
    <w:rsid w:val="002E780D"/>
    <w:rsid w:val="002F4FD3"/>
    <w:rsid w:val="002F568C"/>
    <w:rsid w:val="00314226"/>
    <w:rsid w:val="003159D7"/>
    <w:rsid w:val="0031649A"/>
    <w:rsid w:val="003A0A7A"/>
    <w:rsid w:val="003D2D2B"/>
    <w:rsid w:val="003F5A66"/>
    <w:rsid w:val="00442CEB"/>
    <w:rsid w:val="00483F38"/>
    <w:rsid w:val="00484ABD"/>
    <w:rsid w:val="00487DFA"/>
    <w:rsid w:val="004A44D7"/>
    <w:rsid w:val="004B025F"/>
    <w:rsid w:val="004C480D"/>
    <w:rsid w:val="004C7714"/>
    <w:rsid w:val="004F1E42"/>
    <w:rsid w:val="004F34D1"/>
    <w:rsid w:val="005058AB"/>
    <w:rsid w:val="005353BB"/>
    <w:rsid w:val="005405AD"/>
    <w:rsid w:val="00543FCE"/>
    <w:rsid w:val="00555DAE"/>
    <w:rsid w:val="005868DB"/>
    <w:rsid w:val="005A7043"/>
    <w:rsid w:val="005D0C90"/>
    <w:rsid w:val="0062681E"/>
    <w:rsid w:val="00631C5D"/>
    <w:rsid w:val="00643732"/>
    <w:rsid w:val="0065460A"/>
    <w:rsid w:val="006614D3"/>
    <w:rsid w:val="006A754E"/>
    <w:rsid w:val="0078419C"/>
    <w:rsid w:val="00795779"/>
    <w:rsid w:val="007A219F"/>
    <w:rsid w:val="007A3DBC"/>
    <w:rsid w:val="007D204E"/>
    <w:rsid w:val="007D4942"/>
    <w:rsid w:val="007E4593"/>
    <w:rsid w:val="008158E6"/>
    <w:rsid w:val="008548FB"/>
    <w:rsid w:val="00871F39"/>
    <w:rsid w:val="008A00C0"/>
    <w:rsid w:val="008F7632"/>
    <w:rsid w:val="009004F1"/>
    <w:rsid w:val="00943484"/>
    <w:rsid w:val="00950554"/>
    <w:rsid w:val="00962658"/>
    <w:rsid w:val="00970AD9"/>
    <w:rsid w:val="009718AD"/>
    <w:rsid w:val="00986DFE"/>
    <w:rsid w:val="00987485"/>
    <w:rsid w:val="009926A2"/>
    <w:rsid w:val="009D14F2"/>
    <w:rsid w:val="009D620B"/>
    <w:rsid w:val="00AA343D"/>
    <w:rsid w:val="00AB1B1C"/>
    <w:rsid w:val="00AC09B3"/>
    <w:rsid w:val="00AC6958"/>
    <w:rsid w:val="00AC6A7D"/>
    <w:rsid w:val="00AC73EA"/>
    <w:rsid w:val="00AD5D8C"/>
    <w:rsid w:val="00B56ED9"/>
    <w:rsid w:val="00B73E4F"/>
    <w:rsid w:val="00B800AF"/>
    <w:rsid w:val="00B906D7"/>
    <w:rsid w:val="00C0365E"/>
    <w:rsid w:val="00C1452D"/>
    <w:rsid w:val="00C17FA9"/>
    <w:rsid w:val="00C21B4C"/>
    <w:rsid w:val="00C36679"/>
    <w:rsid w:val="00C8633E"/>
    <w:rsid w:val="00CA0F72"/>
    <w:rsid w:val="00D42D1C"/>
    <w:rsid w:val="00D43796"/>
    <w:rsid w:val="00D63333"/>
    <w:rsid w:val="00D640E2"/>
    <w:rsid w:val="00D64506"/>
    <w:rsid w:val="00D72EBC"/>
    <w:rsid w:val="00D97B51"/>
    <w:rsid w:val="00DA0509"/>
    <w:rsid w:val="00DF0FB4"/>
    <w:rsid w:val="00E00DF9"/>
    <w:rsid w:val="00E1326E"/>
    <w:rsid w:val="00E160E4"/>
    <w:rsid w:val="00E52DF3"/>
    <w:rsid w:val="00E63365"/>
    <w:rsid w:val="00E66569"/>
    <w:rsid w:val="00E6725F"/>
    <w:rsid w:val="00EA0A05"/>
    <w:rsid w:val="00ED0A14"/>
    <w:rsid w:val="00EF41CE"/>
    <w:rsid w:val="00EF57EC"/>
    <w:rsid w:val="00F14835"/>
    <w:rsid w:val="00F47C56"/>
    <w:rsid w:val="00F7715B"/>
    <w:rsid w:val="00F77AA1"/>
    <w:rsid w:val="00F83A53"/>
    <w:rsid w:val="00F9136A"/>
    <w:rsid w:val="00FE04C3"/>
    <w:rsid w:val="00FE3CE6"/>
    <w:rsid w:val="00FE6CE5"/>
    <w:rsid w:val="00FF26B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41BD"/>
  <w15:docId w15:val="{75C61491-5F45-433E-90CD-A3DA7DF6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13050"/>
    <w:pPr>
      <w:ind w:left="720"/>
      <w:contextualSpacing/>
    </w:pPr>
  </w:style>
  <w:style w:type="paragraph" w:styleId="NoSpacing">
    <w:name w:val="No Spacing"/>
    <w:uiPriority w:val="1"/>
    <w:qFormat/>
    <w:rsid w:val="005A7043"/>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AB1B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1B1C"/>
    <w:rPr>
      <w:rFonts w:ascii="Calibri" w:eastAsia="Calibri" w:hAnsi="Calibri" w:cs="Calibri"/>
      <w:color w:val="000000"/>
    </w:rPr>
  </w:style>
  <w:style w:type="paragraph" w:styleId="Footer">
    <w:name w:val="footer"/>
    <w:basedOn w:val="Normal"/>
    <w:link w:val="FooterChar"/>
    <w:uiPriority w:val="99"/>
    <w:unhideWhenUsed/>
    <w:rsid w:val="00AB1B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B1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Markovic</dc:creator>
  <cp:keywords/>
  <cp:lastModifiedBy>Jelena Krstic</cp:lastModifiedBy>
  <cp:revision>2</cp:revision>
  <dcterms:created xsi:type="dcterms:W3CDTF">2021-09-15T14:19:00Z</dcterms:created>
  <dcterms:modified xsi:type="dcterms:W3CDTF">2021-09-15T14:19:00Z</dcterms:modified>
</cp:coreProperties>
</file>