
<file path=[Content_Types].xml><?xml version="1.0" encoding="utf-8"?>
<Types xmlns="http://schemas.openxmlformats.org/package/2006/content-types">
  <Override PartName="/_rels/.rels" ContentType="application/vnd.openxmlformats-package.relationships+xml"/>
  <Override PartName="/word/document.xml" ContentType="application/vnd.openxmlformats-officedocument.wordprocessingml.document.main+xml"/>
  <Override PartName="/word/header3.xml" ContentType="application/vnd.openxmlformats-officedocument.wordprocessingml.header+xml"/>
  <Override PartName="/word/footer3.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media/image7.wmf" ContentType="image/x-wmf"/>
  <Override PartName="/word/media/image4.wmf" ContentType="image/x-wmf"/>
  <Override PartName="/word/media/image8.wmf" ContentType="image/x-wmf"/>
  <Override PartName="/word/media/image1.wmf" ContentType="image/x-wmf"/>
  <Override PartName="/word/media/image10.wmf" ContentType="image/x-wmf"/>
  <Override PartName="/word/media/image5.wmf" ContentType="image/x-wmf"/>
  <Override PartName="/word/media/image9.wmf" ContentType="image/x-wmf"/>
  <Override PartName="/word/media/image2.wmf" ContentType="image/x-wmf"/>
  <Override PartName="/word/media/image6.wmf" ContentType="image/x-wmf"/>
  <Override PartName="/word/media/image3.wmf" ContentType="image/x-wmf"/>
  <Override PartName="/word/_rels/document.xml.rels" ContentType="application/vnd.openxmlformats-package.relationships+xml"/>
  <Override PartName="/word/settings.xml" ContentType="application/vnd.openxmlformats-officedocument.wordprocessingml.settings+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body>
    <w:p>
      <w:pPr>
        <w:pStyle w:val="style0"/>
        <w:jc w:val="both"/>
        <w:rPr>
          <w:lang w:val="en-US"/>
        </w:rPr>
      </w:pPr>
      <w:r>
        <w:rPr>
          <w:lang w:val="en-US"/>
        </w:rPr>
      </w:r>
    </w:p>
    <w:p>
      <w:pPr>
        <w:pStyle w:val="style0"/>
        <w:jc w:val="both"/>
        <w:rPr>
          <w:lang w:val="en-US"/>
        </w:rPr>
      </w:pPr>
      <w:r>
        <w:rPr>
          <w:lang w:val="en-US"/>
        </w:rPr>
      </w:r>
    </w:p>
    <w:p>
      <w:pPr>
        <w:pStyle w:val="style0"/>
        <w:jc w:val="both"/>
        <w:rPr>
          <w:lang w:val="en-US"/>
        </w:rPr>
      </w:pPr>
      <w:r>
        <w:rPr>
          <w:lang w:val="en-US"/>
        </w:rPr>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tab/>
        <w:tab/>
        <w:tab/>
        <w:tab/>
        <w:tab/>
        <w:tab/>
        <w:tab/>
        <w:tab/>
        <w:t>25. novembar 2013.</w:t>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t>Savet za štampu</w:t>
      </w:r>
    </w:p>
    <w:p>
      <w:pPr>
        <w:pStyle w:val="style0"/>
        <w:tabs>
          <w:tab w:leader="none" w:pos="2181" w:val="left"/>
        </w:tabs>
        <w:jc w:val="both"/>
        <w:rPr>
          <w:rFonts w:ascii="Bookman Old Style" w:cs="Bookman Old Style" w:hAnsi="Bookman Old Style"/>
          <w:szCs w:val="24"/>
          <w:lang w:val="en-US"/>
        </w:rPr>
      </w:pPr>
      <w:r>
        <w:rPr>
          <w:rFonts w:ascii="Bookman Old Style" w:cs="Bookman Old Style" w:hAnsi="Bookman Old Style"/>
          <w:szCs w:val="24"/>
          <w:lang w:val="en-US"/>
        </w:rPr>
        <w:t>Ljube Jovanovića 9c</w:t>
        <w:tab/>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t>11000 Beograd</w:t>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r>
    </w:p>
    <w:p>
      <w:pPr>
        <w:pStyle w:val="style0"/>
        <w:jc w:val="center"/>
        <w:rPr>
          <w:rFonts w:ascii="Bookman Old Style" w:cs="Bookman Old Style" w:hAnsi="Bookman Old Style"/>
          <w:b/>
          <w:bCs/>
          <w:szCs w:val="24"/>
          <w:lang w:val="en-US"/>
        </w:rPr>
      </w:pPr>
      <w:r>
        <w:rPr>
          <w:rFonts w:ascii="Bookman Old Style" w:cs="Bookman Old Style" w:hAnsi="Bookman Old Style"/>
          <w:b/>
          <w:bCs/>
          <w:szCs w:val="24"/>
          <w:lang w:val="en-US"/>
        </w:rPr>
        <w:t>ŽALBA</w:t>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t xml:space="preserve">U nekoliko štampanih medija u Srbiji od 12. novembra 2013, vodi se kampanja zastrašivanja i diskreditacije predsednice Helsinškog odbora u Srbiji Sonje Biserko, povodom poziva Republike Hrvatske da ona bude svedok u sporu Hrvatske i Srbije pred Međunarodnim sudom pravde. </w:t>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t xml:space="preserve">Tekstovima koje prilažemo uz ovu žalbu narušen je Kodeks novinara Srbije, pre svega članovi III i IV. Helsinški odbor ocenjuje da je cilj objavljivanja imena svedokinje, kao i  navedenih tekstova u </w:t>
      </w:r>
      <w:r>
        <w:rPr>
          <w:rFonts w:ascii="Bookman Old Style" w:cs="Bookman Old Style" w:hAnsi="Bookman Old Style"/>
          <w:i/>
          <w:iCs/>
          <w:szCs w:val="24"/>
          <w:lang w:val="en-US"/>
        </w:rPr>
        <w:t>Večernjim novostima</w:t>
      </w:r>
      <w:r>
        <w:rPr>
          <w:rFonts w:ascii="Bookman Old Style" w:cs="Bookman Old Style" w:hAnsi="Bookman Old Style"/>
          <w:szCs w:val="24"/>
          <w:lang w:val="en-US"/>
        </w:rPr>
        <w:t xml:space="preserve"> i </w:t>
      </w:r>
      <w:r>
        <w:rPr>
          <w:rFonts w:ascii="Bookman Old Style" w:cs="Bookman Old Style" w:hAnsi="Bookman Old Style"/>
          <w:i/>
          <w:iCs/>
          <w:szCs w:val="24"/>
          <w:lang w:val="en-US"/>
        </w:rPr>
        <w:t>Informeru</w:t>
      </w:r>
      <w:r>
        <w:rPr>
          <w:rFonts w:ascii="Bookman Old Style" w:cs="Bookman Old Style" w:hAnsi="Bookman Old Style"/>
          <w:szCs w:val="24"/>
          <w:lang w:val="en-US"/>
        </w:rPr>
        <w:t>, njena diskreditacija i zastrašivanje, odnosno ugrožavanje njene bezbednosti praktično otvorenim pozivanjem  na linč.</w:t>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t xml:space="preserve">Protivno međunarodnopravnim uzusima i praksi da se imena svedoka u međudržavnim sporovima “čuvaju kao tajna kako im ne bi bila ugrožena bezbednost”, nekoliko listova objavilo je ime Sonje Biserko, kao potencijalnog  svedoka. To je učinjeno u dnevnim listovima: </w:t>
      </w:r>
      <w:r>
        <w:rPr>
          <w:rFonts w:ascii="Bookman Old Style" w:cs="Bookman Old Style" w:hAnsi="Bookman Old Style"/>
          <w:i/>
          <w:iCs/>
          <w:szCs w:val="24"/>
          <w:lang w:val="en-US"/>
        </w:rPr>
        <w:t>Blic,</w:t>
      </w:r>
      <w:r>
        <w:rPr>
          <w:rFonts w:ascii="Bookman Old Style" w:cs="Bookman Old Style" w:hAnsi="Bookman Old Style"/>
          <w:szCs w:val="24"/>
          <w:lang w:val="en-US"/>
        </w:rPr>
        <w:t xml:space="preserve"> u tekstu </w:t>
      </w:r>
      <w:r>
        <w:rPr>
          <w:rFonts w:ascii="Bookman Old Style" w:cs="Bookman Old Style" w:hAnsi="Bookman Old Style"/>
          <w:b/>
          <w:bCs/>
          <w:szCs w:val="24"/>
          <w:lang w:val="en-US"/>
        </w:rPr>
        <w:t>„Sonja Biserko svedok Hrvatske u tužbi za genocid protiv Srbije“</w:t>
      </w:r>
      <w:r>
        <w:rPr>
          <w:rFonts w:ascii="Bookman Old Style" w:cs="Bookman Old Style" w:hAnsi="Bookman Old Style"/>
          <w:szCs w:val="24"/>
          <w:lang w:val="en-US"/>
        </w:rPr>
        <w:t xml:space="preserve"> (12. novembar 2013), </w:t>
      </w:r>
      <w:r>
        <w:rPr>
          <w:rFonts w:ascii="Bookman Old Style" w:cs="Bookman Old Style" w:hAnsi="Bookman Old Style"/>
          <w:i/>
          <w:iCs/>
          <w:szCs w:val="24"/>
          <w:lang w:val="en-US"/>
        </w:rPr>
        <w:t>Politika</w:t>
      </w:r>
      <w:r>
        <w:rPr>
          <w:rFonts w:ascii="Bookman Old Style" w:cs="Bookman Old Style" w:hAnsi="Bookman Old Style"/>
          <w:szCs w:val="24"/>
          <w:lang w:val="en-US"/>
        </w:rPr>
        <w:t xml:space="preserve"> u komentaru Jelene Cerovine </w:t>
      </w:r>
      <w:r>
        <w:rPr>
          <w:rFonts w:ascii="Bookman Old Style" w:cs="Bookman Old Style" w:hAnsi="Bookman Old Style"/>
          <w:b/>
          <w:bCs/>
          <w:szCs w:val="24"/>
          <w:lang w:val="en-US"/>
        </w:rPr>
        <w:t>„Dobri prijatelji idu na sud“</w:t>
      </w:r>
      <w:r>
        <w:rPr>
          <w:rFonts w:ascii="Bookman Old Style" w:cs="Bookman Old Style" w:hAnsi="Bookman Old Style"/>
          <w:szCs w:val="24"/>
          <w:lang w:val="en-US"/>
        </w:rPr>
        <w:t xml:space="preserve"> ( 13. novembar 2013, str. 5) i </w:t>
      </w:r>
      <w:r>
        <w:rPr>
          <w:rFonts w:ascii="Bookman Old Style" w:cs="Bookman Old Style" w:hAnsi="Bookman Old Style"/>
          <w:i/>
          <w:iCs/>
          <w:szCs w:val="24"/>
          <w:lang w:val="en-US"/>
        </w:rPr>
        <w:t>Večernje novosti</w:t>
      </w:r>
      <w:r>
        <w:rPr>
          <w:rFonts w:ascii="Bookman Old Style" w:cs="Bookman Old Style" w:hAnsi="Bookman Old Style"/>
          <w:szCs w:val="24"/>
          <w:lang w:val="en-US"/>
        </w:rPr>
        <w:t xml:space="preserve"> u antrfileu </w:t>
      </w:r>
      <w:r>
        <w:rPr>
          <w:rFonts w:ascii="Bookman Old Style" w:cs="Bookman Old Style" w:hAnsi="Bookman Old Style"/>
          <w:b/>
          <w:bCs/>
          <w:szCs w:val="24"/>
          <w:lang w:val="en-US"/>
        </w:rPr>
        <w:t>„Biserko za Zagreb“</w:t>
      </w:r>
      <w:r>
        <w:rPr>
          <w:rFonts w:ascii="Bookman Old Style" w:cs="Bookman Old Style" w:hAnsi="Bookman Old Style"/>
          <w:szCs w:val="24"/>
          <w:lang w:val="en-US"/>
        </w:rPr>
        <w:t xml:space="preserve">  (13. novembar 2013, str 3).  Tekstovi su u prilogu. </w:t>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t xml:space="preserve">Indikativno je da je </w:t>
      </w:r>
      <w:r>
        <w:rPr>
          <w:rFonts w:ascii="Bookman Old Style" w:cs="Bookman Old Style" w:hAnsi="Bookman Old Style"/>
          <w:i/>
          <w:iCs/>
          <w:szCs w:val="24"/>
          <w:lang w:val="en-US"/>
        </w:rPr>
        <w:t>Politika</w:t>
      </w:r>
      <w:r>
        <w:rPr>
          <w:rFonts w:ascii="Bookman Old Style" w:cs="Bookman Old Style" w:hAnsi="Bookman Old Style"/>
          <w:szCs w:val="24"/>
          <w:lang w:val="en-US"/>
        </w:rPr>
        <w:t xml:space="preserve">  informaciju o tajnosti imena objavila 14. novembra, dan nakon što je objavila puno ime i prezime Sonje Biserko u pomenutom komentaru koji je zapravo i pokrenuo medijsku kampanju  protiv svedokinje. </w:t>
      </w:r>
    </w:p>
    <w:p>
      <w:pPr>
        <w:pStyle w:val="style0"/>
        <w:jc w:val="both"/>
        <w:rPr>
          <w:rFonts w:ascii="Bookman Old Style" w:cs="Bookman Old Style" w:hAnsi="Bookman Old Style"/>
          <w:i/>
          <w:iCs/>
          <w:szCs w:val="24"/>
          <w:lang w:val="en-US"/>
        </w:rPr>
      </w:pPr>
      <w:r>
        <w:rPr>
          <w:rFonts w:ascii="Bookman Old Style" w:cs="Bookman Old Style" w:hAnsi="Bookman Old Style"/>
          <w:i/>
          <w:iCs/>
          <w:szCs w:val="24"/>
          <w:lang w:val="en-US"/>
        </w:rPr>
      </w:r>
    </w:p>
    <w:p>
      <w:pPr>
        <w:pStyle w:val="style29"/>
        <w:rPr>
          <w:rFonts w:ascii="Bookman Old Style" w:cs="Bookman Old Style" w:hAnsi="Bookman Old Style"/>
          <w:szCs w:val="24"/>
          <w:lang w:val="en-US"/>
        </w:rPr>
      </w:pPr>
      <w:r>
        <w:rPr>
          <w:rFonts w:ascii="Bookman Old Style" w:cs="Bookman Old Style" w:hAnsi="Bookman Old Style"/>
          <w:i/>
          <w:iCs/>
          <w:szCs w:val="24"/>
          <w:lang w:val="en-US"/>
        </w:rPr>
        <w:t>Večernje novosti</w:t>
      </w:r>
      <w:r>
        <w:rPr>
          <w:rFonts w:ascii="Bookman Old Style" w:cs="Bookman Old Style" w:hAnsi="Bookman Old Style"/>
          <w:szCs w:val="24"/>
          <w:lang w:val="en-US"/>
        </w:rPr>
        <w:t xml:space="preserve"> su 16. novembra objavile intervju sa šefom pravnog tima koji zastupa Srbiju u sporu sa Hrvatksom Sašom Obradovićem koji kaže: „</w:t>
      </w:r>
      <w:r>
        <w:rPr>
          <w:rFonts w:ascii="Bookman Old Style" w:cs="Bookman Old Style" w:hAnsi="Bookman Old Style"/>
          <w:b/>
          <w:szCs w:val="24"/>
          <w:lang w:val="en-US"/>
        </w:rPr>
        <w:t>Nemamo pravo da tri meseca pred početak suđenja objavljujemo imena svedoka, jer bi to ugrozilo njihovu sigurnost</w:t>
      </w:r>
      <w:r>
        <w:rPr>
          <w:rFonts w:ascii="Bookman Old Style" w:cs="Bookman Old Style" w:hAnsi="Bookman Old Style"/>
          <w:szCs w:val="24"/>
          <w:lang w:val="en-US"/>
        </w:rPr>
        <w:t xml:space="preserve">“. Prva pretresna rasprava zakazana je za 3. mart 2014. godine.  Prema njegovim tvrdnjama, </w:t>
      </w:r>
      <w:r>
        <w:rPr>
          <w:rFonts w:ascii="Bookman Old Style" w:cs="Bookman Old Style" w:hAnsi="Bookman Old Style"/>
          <w:b/>
          <w:bCs/>
          <w:szCs w:val="24"/>
          <w:lang w:val="en-US"/>
        </w:rPr>
        <w:t>sa hrvatskom stranom je napravljen dogovor da se o dokazima ne govori u javnosti.</w:t>
      </w:r>
      <w:r>
        <w:rPr>
          <w:rFonts w:ascii="Bookman Old Style" w:cs="Bookman Old Style" w:hAnsi="Bookman Old Style"/>
          <w:szCs w:val="24"/>
          <w:lang w:val="en-US"/>
        </w:rPr>
        <w:t xml:space="preserve"> </w:t>
      </w:r>
      <w:r>
        <w:rPr>
          <w:rFonts w:ascii="Bookman Old Style" w:cs="Bookman Old Style" w:hAnsi="Bookman Old Style"/>
          <w:b/>
          <w:bCs/>
          <w:szCs w:val="24"/>
          <w:lang w:val="en-US"/>
        </w:rPr>
        <w:t>„Time niko ne dobija. Samo se podižu strasti“,</w:t>
      </w:r>
      <w:r>
        <w:rPr>
          <w:rFonts w:ascii="Bookman Old Style" w:cs="Bookman Old Style" w:hAnsi="Bookman Old Style"/>
          <w:szCs w:val="24"/>
          <w:lang w:val="en-US"/>
        </w:rPr>
        <w:t xml:space="preserve"> kaže Obradović.  </w:t>
      </w:r>
    </w:p>
    <w:p>
      <w:pPr>
        <w:pStyle w:val="style29"/>
        <w:rPr/>
      </w:pPr>
      <w:r>
        <w:rPr/>
      </w:r>
    </w:p>
    <w:p>
      <w:pPr>
        <w:pStyle w:val="style29"/>
        <w:rPr>
          <w:rFonts w:ascii="Bookman Old Style" w:cs="Bookman Old Style" w:hAnsi="Bookman Old Style"/>
          <w:szCs w:val="24"/>
          <w:lang w:val="en-US"/>
        </w:rPr>
      </w:pPr>
      <w:r>
        <w:rPr>
          <w:rFonts w:ascii="Bookman Old Style" w:cs="Bookman Old Style" w:hAnsi="Bookman Old Style"/>
          <w:szCs w:val="24"/>
          <w:lang w:val="en-US"/>
        </w:rPr>
        <w:t xml:space="preserve">Na osnovu informacija u listu </w:t>
      </w:r>
      <w:r>
        <w:rPr>
          <w:rFonts w:ascii="Bookman Old Style" w:cs="Bookman Old Style" w:hAnsi="Bookman Old Style"/>
          <w:i/>
          <w:iCs/>
          <w:szCs w:val="24"/>
          <w:lang w:val="en-US"/>
        </w:rPr>
        <w:t>Blic</w:t>
      </w:r>
      <w:r>
        <w:rPr>
          <w:rFonts w:ascii="Bookman Old Style" w:cs="Bookman Old Style" w:hAnsi="Bookman Old Style"/>
          <w:szCs w:val="24"/>
          <w:lang w:val="en-US"/>
        </w:rPr>
        <w:t xml:space="preserve"> koji je prvi objavio ime svedokinje 12. novembra, zaključujemo da je ona došla upravo iz državnih institucija. Izvor informacije nije naveden, što upućuje na </w:t>
      </w:r>
      <w:r>
        <w:rPr>
          <w:rFonts w:ascii="Bookman Old Style" w:cs="Bookman Old Style" w:hAnsi="Bookman Old Style"/>
          <w:b/>
          <w:bCs/>
          <w:szCs w:val="24"/>
          <w:lang w:val="en-US"/>
        </w:rPr>
        <w:t>zaključak da je onaj ko je dao informaciju znao da ne sme da je objavi ili i sam bio svestan težine te informacije i posledica njenog objavljivanja</w:t>
      </w:r>
      <w:r>
        <w:rPr>
          <w:rFonts w:ascii="Bookman Old Style" w:cs="Bookman Old Style" w:hAnsi="Bookman Old Style"/>
          <w:szCs w:val="24"/>
          <w:lang w:val="en-US"/>
        </w:rPr>
        <w:t xml:space="preserve">. Smatramo da je i na novinarima, a pre svega urednicima, odgovornost da pažljivo procene kada će pristati da objave neku vest ili  informaciju, imajući u vidu  posledice koje objavljivanje može imati.   </w:t>
      </w:r>
    </w:p>
    <w:p>
      <w:pPr>
        <w:pStyle w:val="style29"/>
        <w:rPr/>
      </w:pPr>
      <w:r>
        <w:rPr/>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t xml:space="preserve">U članu IV Kodeksa novinara Srbije (novinarska pažnja), stav 2, stoji da novinar ne sme slepo da veruje izvoru informacija. Novinar mora da vodi računa o tome </w:t>
      </w:r>
      <w:r>
        <w:rPr>
          <w:rFonts w:ascii="Bookman Old Style" w:cs="Bookman Old Style" w:hAnsi="Bookman Old Style"/>
          <w:b/>
          <w:bCs/>
          <w:szCs w:val="24"/>
          <w:lang w:val="en-US"/>
        </w:rPr>
        <w:t>da izvori informacija često slede svoje interese</w:t>
      </w:r>
      <w:r>
        <w:rPr>
          <w:rFonts w:ascii="Bookman Old Style" w:cs="Bookman Old Style" w:hAnsi="Bookman Old Style"/>
          <w:szCs w:val="24"/>
          <w:lang w:val="en-US"/>
        </w:rPr>
        <w:t xml:space="preserve"> ili interese društvenih grupa kojima pripadaju i prilagođavaju svoje iskaze tim interesima. U smernicama novinarima u ovom stavu navodi se da čitaoci moraju da budu obavešteni o neposrednoj koristi koju izvor može ostvariti od objavljivanja informacije. </w:t>
      </w:r>
      <w:r>
        <w:rPr>
          <w:rFonts w:ascii="Bookman Old Style" w:cs="Bookman Old Style" w:hAnsi="Bookman Old Style"/>
          <w:b/>
          <w:bCs/>
          <w:i/>
          <w:iCs/>
          <w:szCs w:val="24"/>
          <w:lang w:val="en-US"/>
        </w:rPr>
        <w:t>Ako izvor ima neposredan interes, ili nastoji s nekim da se obračuna, čitaoci moraju o tome da budu obavešteni.</w:t>
      </w:r>
      <w:r>
        <w:rPr>
          <w:rFonts w:ascii="Bookman Old Style" w:cs="Bookman Old Style" w:hAnsi="Bookman Old Style"/>
          <w:szCs w:val="24"/>
          <w:lang w:val="en-US"/>
        </w:rPr>
        <w:t xml:space="preserve"> </w:t>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t xml:space="preserve">Žalbu podnosimo i povodom sledećih tekstova: </w:t>
      </w:r>
    </w:p>
    <w:p>
      <w:pPr>
        <w:pStyle w:val="style32"/>
        <w:numPr>
          <w:ilvl w:val="0"/>
          <w:numId w:val="1"/>
        </w:numPr>
        <w:jc w:val="both"/>
        <w:rPr>
          <w:rFonts w:ascii="Bookman Old Style" w:cs="Bookman Old Style" w:hAnsi="Bookman Old Style"/>
          <w:sz w:val="24"/>
          <w:szCs w:val="24"/>
          <w:lang w:val="en-US"/>
        </w:rPr>
      </w:pPr>
      <w:r>
        <w:rPr>
          <w:rFonts w:ascii="Bookman Old Style" w:cs="Bookman Old Style" w:hAnsi="Bookman Old Style"/>
          <w:b/>
          <w:bCs/>
          <w:sz w:val="24"/>
          <w:szCs w:val="24"/>
          <w:lang w:val="en-US"/>
        </w:rPr>
        <w:t>„</w:t>
      </w:r>
      <w:r>
        <w:rPr>
          <w:rFonts w:ascii="Bookman Old Style" w:cs="Bookman Old Style" w:hAnsi="Bookman Old Style"/>
          <w:b/>
          <w:bCs/>
          <w:sz w:val="24"/>
          <w:szCs w:val="24"/>
          <w:lang w:val="en-US"/>
        </w:rPr>
        <w:t>Proterajte ovu ženu iz Srbije“,</w:t>
      </w:r>
      <w:r>
        <w:rPr>
          <w:rFonts w:ascii="Bookman Old Style" w:cs="Bookman Old Style" w:hAnsi="Bookman Old Style"/>
          <w:sz w:val="24"/>
          <w:szCs w:val="24"/>
          <w:lang w:val="en-US"/>
        </w:rPr>
        <w:t xml:space="preserve"> najavljeno i na naslovnoj strani lista </w:t>
      </w:r>
      <w:r>
        <w:rPr>
          <w:rFonts w:ascii="Bookman Old Style" w:cs="Bookman Old Style" w:hAnsi="Bookman Old Style"/>
          <w:i/>
          <w:iCs/>
          <w:sz w:val="24"/>
          <w:szCs w:val="24"/>
          <w:lang w:val="en-US"/>
        </w:rPr>
        <w:t>Informer</w:t>
      </w:r>
      <w:r>
        <w:rPr>
          <w:rFonts w:ascii="Bookman Old Style" w:cs="Bookman Old Style" w:hAnsi="Bookman Old Style"/>
          <w:sz w:val="24"/>
          <w:szCs w:val="24"/>
          <w:lang w:val="en-US"/>
        </w:rPr>
        <w:t xml:space="preserve"> 13. novembra 2013. godine.</w:t>
      </w:r>
    </w:p>
    <w:p>
      <w:pPr>
        <w:pStyle w:val="style32"/>
        <w:numPr>
          <w:ilvl w:val="0"/>
          <w:numId w:val="1"/>
        </w:numPr>
        <w:jc w:val="both"/>
        <w:rPr>
          <w:rFonts w:ascii="Bookman Old Style" w:cs="Bookman Old Style" w:hAnsi="Bookman Old Style"/>
          <w:sz w:val="24"/>
          <w:szCs w:val="24"/>
          <w:lang w:val="en-US"/>
        </w:rPr>
      </w:pPr>
      <w:r>
        <w:rPr>
          <w:rFonts w:ascii="Bookman Old Style" w:cs="Bookman Old Style" w:hAnsi="Bookman Old Style"/>
          <w:b/>
          <w:bCs/>
          <w:sz w:val="24"/>
          <w:szCs w:val="24"/>
          <w:lang w:val="en-US"/>
        </w:rPr>
        <w:t>„</w:t>
      </w:r>
      <w:r>
        <w:rPr>
          <w:rFonts w:ascii="Bookman Old Style" w:cs="Bookman Old Style" w:hAnsi="Bookman Old Style"/>
          <w:b/>
          <w:bCs/>
          <w:sz w:val="24"/>
          <w:szCs w:val="24"/>
          <w:lang w:val="en-US"/>
        </w:rPr>
        <w:t>Rat protiv sopstvene države“</w:t>
      </w:r>
      <w:r>
        <w:rPr>
          <w:rFonts w:ascii="Bookman Old Style" w:cs="Bookman Old Style" w:hAnsi="Bookman Old Style"/>
          <w:sz w:val="24"/>
          <w:szCs w:val="24"/>
          <w:lang w:val="en-US"/>
        </w:rPr>
        <w:t xml:space="preserve"> (nadnaslov: „Da li će Srbija reagovati na najavljeno svedočenje Sonje Biserko u korist Hrvatske po tužbi za genocid“; podnaslov: „Osnovno pravno pitanje je o čemu će Biserko svedočiti kad nije bila neposredni učesnik dogadjaja“, „Može se osporavati i njen kredibilitet jer je od Stjepana Mesića dobila orden kneza Trpimira“); objavljeno u </w:t>
      </w:r>
      <w:r>
        <w:rPr>
          <w:rFonts w:ascii="Bookman Old Style" w:cs="Bookman Old Style" w:hAnsi="Bookman Old Style"/>
          <w:i/>
          <w:iCs/>
          <w:sz w:val="24"/>
          <w:szCs w:val="24"/>
          <w:lang w:val="en-US"/>
        </w:rPr>
        <w:t>Večernjim novostima</w:t>
      </w:r>
      <w:r>
        <w:rPr>
          <w:rFonts w:ascii="Bookman Old Style" w:cs="Bookman Old Style" w:hAnsi="Bookman Old Style"/>
          <w:sz w:val="24"/>
          <w:szCs w:val="24"/>
          <w:lang w:val="en-US"/>
        </w:rPr>
        <w:t xml:space="preserve"> 23. novembra 2013. Ovaj tekst najavljen je i na naslovnoj strani, sa naslovom „Sonja Biserko u ratu protiv svoje države“. (Objavljivanje teksta je najavljeno u Večernjim novostima i 22. novembra).</w:t>
      </w:r>
    </w:p>
    <w:p>
      <w:pPr>
        <w:pStyle w:val="style32"/>
        <w:numPr>
          <w:ilvl w:val="0"/>
          <w:numId w:val="1"/>
        </w:numPr>
        <w:jc w:val="both"/>
        <w:rPr>
          <w:rFonts w:ascii="Bookman Old Style" w:cs="Bookman Old Style" w:hAnsi="Bookman Old Style"/>
          <w:b/>
          <w:bCs/>
          <w:sz w:val="24"/>
          <w:szCs w:val="24"/>
          <w:lang w:val="en-US"/>
        </w:rPr>
      </w:pPr>
      <w:r>
        <w:rPr>
          <w:rFonts w:ascii="Bookman Old Style" w:cs="Bookman Old Style" w:hAnsi="Bookman Old Style"/>
          <w:b/>
          <w:bCs/>
          <w:sz w:val="24"/>
          <w:szCs w:val="24"/>
          <w:lang w:val="en-US"/>
        </w:rPr>
        <w:t>Naslov u Politici “Nije jasno o čemu će svedočiti Sonja Biserko” na 1. i 7. stranici, 24. novembar 2013.</w:t>
      </w:r>
    </w:p>
    <w:p>
      <w:pPr>
        <w:sectPr>
          <w:headerReference r:id="rId2" w:type="default"/>
          <w:footerReference r:id="rId3" w:type="default"/>
          <w:type w:val="nextPage"/>
          <w:pgSz w:h="16838" w:w="11906"/>
          <w:pgMar w:bottom="777" w:footer="720" w:gutter="0" w:header="1361" w:left="1797" w:right="1797" w:top="1440"/>
          <w:pgNumType w:fmt="decimal"/>
          <w:formProt w:val="false"/>
          <w:textDirection w:val="lrTb"/>
          <w:docGrid w:charSpace="0" w:linePitch="240" w:type="default"/>
        </w:sectPr>
        <w:pStyle w:val="style32"/>
        <w:ind w:hanging="0" w:left="360" w:right="0"/>
        <w:jc w:val="both"/>
        <w:rPr>
          <w:rFonts w:ascii="Bookman Old Style" w:cs="Bookman Old Style" w:hAnsi="Bookman Old Style"/>
          <w:sz w:val="24"/>
          <w:szCs w:val="24"/>
          <w:lang w:val="en-US"/>
        </w:rPr>
      </w:pPr>
      <w:r>
        <w:rPr>
          <w:rFonts w:ascii="Bookman Old Style" w:cs="Bookman Old Style" w:hAnsi="Bookman Old Style"/>
          <w:sz w:val="24"/>
          <w:szCs w:val="24"/>
          <w:lang w:val="en-US"/>
        </w:rPr>
        <w:t>Reč je zapravo o intervjuu sa poznatim stručnjakom međunarodnog prava dr Tiborom Varadijem, iz koga je naslov tendenciozno izvučen.</w:t>
      </w:r>
    </w:p>
    <w:p>
      <w:pPr>
        <w:sectPr>
          <w:headerReference r:id="rId4" w:type="default"/>
          <w:footerReference r:id="rId5" w:type="default"/>
          <w:type w:val="nextPage"/>
          <w:pgSz w:h="16838" w:w="11906"/>
          <w:pgMar w:bottom="1440" w:footer="720" w:gutter="0" w:header="1361" w:left="1797" w:right="1797" w:top="1440"/>
          <w:pgNumType w:fmt="decimal"/>
          <w:formProt w:val="false"/>
          <w:textDirection w:val="lrTb"/>
          <w:docGrid w:charSpace="0" w:linePitch="240" w:type="default"/>
        </w:sectPr>
        <w:pStyle w:val="style32"/>
        <w:ind w:hanging="0" w:left="0" w:right="0"/>
        <w:jc w:val="both"/>
        <w:rPr>
          <w:rFonts w:ascii="Bookman Old Style" w:cs="Bookman Old Style" w:hAnsi="Bookman Old Style"/>
          <w:sz w:val="24"/>
          <w:szCs w:val="24"/>
          <w:lang w:val="en-US"/>
        </w:rPr>
      </w:pPr>
      <w:r>
        <w:rPr>
          <w:rFonts w:ascii="Bookman Old Style" w:cs="Bookman Old Style" w:hAnsi="Bookman Old Style"/>
          <w:sz w:val="24"/>
          <w:szCs w:val="24"/>
          <w:lang w:val="en-US"/>
        </w:rPr>
        <w:t>Smatramo da je u navedenim tekstovima narušen član III Kodeksa novinara Srbije koji se odnosi na odgovornost novinara; u stavu 1, stoji da je novinar pre svega odgovoran svojim čitaocima i da tu odgovornost ne sme da podredi interesima drugih, a posebno interesima izdavača, vlade i drugih državnih organa. „</w:t>
      </w:r>
      <w:r>
        <w:rPr>
          <w:rFonts w:ascii="Bookman Old Style" w:cs="Bookman Old Style" w:hAnsi="Bookman Old Style"/>
          <w:b/>
          <w:bCs/>
          <w:sz w:val="24"/>
          <w:szCs w:val="24"/>
          <w:lang w:val="en-US"/>
        </w:rPr>
        <w:t>Novinar se mora suprotstaviti svima koji krše ljudska prava ili se zalažu za bilo koju vrstu diskriminacije, govor mržnje i podsticanje nasilja</w:t>
      </w:r>
      <w:r>
        <w:rPr>
          <w:rFonts w:ascii="Bookman Old Style" w:cs="Bookman Old Style" w:hAnsi="Bookman Old Style"/>
          <w:sz w:val="24"/>
          <w:szCs w:val="24"/>
          <w:lang w:val="en-US"/>
        </w:rPr>
        <w:t xml:space="preserve">“. U stavu 4. piše da </w:t>
      </w:r>
      <w:r>
        <w:rPr>
          <w:rFonts w:ascii="Bookman Old Style" w:cs="Bookman Old Style" w:hAnsi="Bookman Old Style"/>
          <w:b/>
          <w:bCs/>
          <w:sz w:val="24"/>
          <w:szCs w:val="24"/>
          <w:lang w:val="en-US"/>
        </w:rPr>
        <w:t>novinar mora biti svestan opasnosti od diskriminacije koju mogu da šire mediji i učiniće sve da izbegne diskriminaciju zasnovanu na (...) političkom i drugom mišljenju</w:t>
      </w:r>
      <w:r>
        <w:rPr>
          <w:rFonts w:ascii="Bookman Old Style" w:cs="Bookman Old Style" w:hAnsi="Bookman Old Style"/>
          <w:sz w:val="24"/>
          <w:szCs w:val="24"/>
          <w:lang w:val="en-US"/>
        </w:rPr>
        <w:t xml:space="preserve">. </w:t>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t xml:space="preserve">Oba teksta pozivaju državu da preduzme represivne mere protiv potencijalne svedokinje Sonje Biserko i krše pravo na zaštitu svedoka i slobodu govora, što spada u osnovna ljudska prava. </w:t>
      </w:r>
    </w:p>
    <w:p>
      <w:pPr>
        <w:pStyle w:val="style0"/>
        <w:jc w:val="both"/>
        <w:rPr>
          <w:rFonts w:ascii="Bookman Old Style" w:cs="Bookman Old Style" w:hAnsi="Bookman Old Style"/>
          <w:i/>
          <w:iCs/>
          <w:szCs w:val="24"/>
          <w:lang w:val="en-US"/>
        </w:rPr>
      </w:pPr>
      <w:r>
        <w:rPr>
          <w:rFonts w:ascii="Bookman Old Style" w:cs="Bookman Old Style" w:hAnsi="Bookman Old Style"/>
          <w:szCs w:val="24"/>
          <w:lang w:val="en-US"/>
        </w:rPr>
        <w:t xml:space="preserve">Navedeni tekstovi iz </w:t>
      </w:r>
      <w:r>
        <w:rPr>
          <w:rFonts w:ascii="Bookman Old Style" w:cs="Bookman Old Style" w:hAnsi="Bookman Old Style"/>
          <w:i/>
          <w:iCs/>
          <w:szCs w:val="24"/>
          <w:lang w:val="en-US"/>
        </w:rPr>
        <w:t>Informera</w:t>
      </w:r>
      <w:r>
        <w:rPr>
          <w:rFonts w:ascii="Bookman Old Style" w:cs="Bookman Old Style" w:hAnsi="Bookman Old Style"/>
          <w:szCs w:val="24"/>
          <w:lang w:val="en-US"/>
        </w:rPr>
        <w:t xml:space="preserve"> i </w:t>
      </w:r>
      <w:r>
        <w:rPr>
          <w:rFonts w:ascii="Bookman Old Style" w:cs="Bookman Old Style" w:hAnsi="Bookman Old Style"/>
          <w:i/>
          <w:iCs/>
          <w:szCs w:val="24"/>
          <w:lang w:val="en-US"/>
        </w:rPr>
        <w:t>Večernjih novosti</w:t>
      </w:r>
      <w:r>
        <w:rPr>
          <w:rFonts w:ascii="Bookman Old Style" w:cs="Bookman Old Style" w:hAnsi="Bookman Old Style"/>
          <w:szCs w:val="24"/>
          <w:lang w:val="en-US"/>
        </w:rPr>
        <w:t xml:space="preserve"> sadrže karakteristike govora mržnje koji kod čitalaca treba da izazovu prezir i osećanje neprijateljstva prema Sonji Biserko sa ciljem da je zastraše. Sudeći po komentarima na web stranicama navedenih listova objavljeni tekstovi podstiču i na nasilje. (Npr: komentar na sajtu Večernjih novosti: </w:t>
      </w:r>
      <w:hyperlink r:id="rId6">
        <w:r>
          <w:rPr>
            <w:rStyle w:val="style17"/>
            <w:rFonts w:ascii="Bookman Old Style" w:cs="Bookman Old Style" w:hAnsi="Bookman Old Style"/>
            <w:szCs w:val="24"/>
            <w:lang w:val="en-US"/>
          </w:rPr>
          <w:t>http://www.novosti.rs/vesti/naslovna/politika/aktuelno.289.html:465057-Sonja-Biserko-svedoci-protiv-sopstvene-zemlje</w:t>
        </w:r>
      </w:hyperlink>
      <w:r>
        <w:rPr>
          <w:rFonts w:ascii="Bookman Old Style" w:cs="Bookman Old Style" w:hAnsi="Bookman Old Style"/>
          <w:szCs w:val="24"/>
          <w:lang w:val="en-US"/>
        </w:rPr>
        <w:t xml:space="preserve"> (poslednji put viđeno 24. novembra 2013.): Goran5 23. novembar 2013. 16:11 #2727316 „</w:t>
      </w:r>
      <w:r>
        <w:rPr>
          <w:rFonts w:ascii="Bookman Old Style" w:cs="Bookman Old Style" w:hAnsi="Bookman Old Style"/>
          <w:i/>
          <w:iCs/>
          <w:szCs w:val="24"/>
          <w:lang w:val="en-US"/>
        </w:rPr>
        <w:t xml:space="preserve">Najbolja stvar koju država može da uradi je da joj ukine obezbeđenje. Sve ostalo će se rešiti samo“. </w:t>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t xml:space="preserve">Ovakvi tekstovi praktično poručuju građanima da je takvo ponašanje prema svedokinji legitimno I društveno opravdano. </w:t>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t xml:space="preserve">Podvlačimo i da su </w:t>
      </w:r>
      <w:r>
        <w:rPr>
          <w:rFonts w:ascii="Bookman Old Style" w:cs="Bookman Old Style" w:hAnsi="Bookman Old Style"/>
          <w:i/>
          <w:iCs/>
          <w:szCs w:val="24"/>
          <w:lang w:val="en-US"/>
        </w:rPr>
        <w:t>Večernje novosti</w:t>
      </w:r>
      <w:r>
        <w:rPr>
          <w:rFonts w:ascii="Bookman Old Style" w:cs="Bookman Old Style" w:hAnsi="Bookman Old Style"/>
          <w:szCs w:val="24"/>
          <w:lang w:val="en-US"/>
        </w:rPr>
        <w:t xml:space="preserve"> potpuno svesne posledica koje tekst </w:t>
      </w:r>
      <w:r>
        <w:rPr>
          <w:rFonts w:ascii="Bookman Old Style" w:cs="Bookman Old Style" w:hAnsi="Bookman Old Style"/>
          <w:b/>
          <w:bCs/>
          <w:szCs w:val="24"/>
          <w:lang w:val="en-US"/>
        </w:rPr>
        <w:t>„Rat protiv sopstvene države“</w:t>
      </w:r>
      <w:r>
        <w:rPr>
          <w:rFonts w:ascii="Bookman Old Style" w:cs="Bookman Old Style" w:hAnsi="Bookman Old Style"/>
          <w:szCs w:val="24"/>
          <w:lang w:val="en-US"/>
        </w:rPr>
        <w:t xml:space="preserve"> može da izazove, s obzirom da su samo nekoliko dana ranije objavile gore citiranu izjavu šefa pravnog tima Srbije Saše Obradovića. </w:t>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t xml:space="preserve">Posebnu težinu u ovoj kampanji zastrašivanja, defamacije i pretnji nasiljem daju izjave javnih ličnosti  poput šefa poslaničke grupe Srpske napredne stranke Zorana Babića, predsednika Asocijacije izbegličkih udruženja iz Hrvatske Milojka Budimira, poslanice DSS Sande Rašković Ivić (citirani u </w:t>
      </w:r>
      <w:r>
        <w:rPr>
          <w:rFonts w:ascii="Bookman Old Style" w:cs="Bookman Old Style" w:hAnsi="Bookman Old Style"/>
          <w:i/>
          <w:iCs/>
          <w:szCs w:val="24"/>
          <w:lang w:val="en-US"/>
        </w:rPr>
        <w:t>Informeru</w:t>
      </w:r>
      <w:r>
        <w:rPr>
          <w:rFonts w:ascii="Bookman Old Style" w:cs="Bookman Old Style" w:hAnsi="Bookman Old Style"/>
          <w:szCs w:val="24"/>
          <w:lang w:val="en-US"/>
        </w:rPr>
        <w:t xml:space="preserve"> „Proterajte ovu ženu iz Srbije“); akademika Smilje Avramov, Miroslava Svirčevića iz Balkanološkog instituta SANU, profesora krivičnog prava Milana Škulića i drugih u </w:t>
      </w:r>
      <w:r>
        <w:rPr>
          <w:rFonts w:ascii="Bookman Old Style" w:cs="Bookman Old Style" w:hAnsi="Bookman Old Style"/>
          <w:i/>
          <w:iCs/>
          <w:szCs w:val="24"/>
          <w:lang w:val="en-US"/>
        </w:rPr>
        <w:t>Večernjim novostima</w:t>
      </w:r>
      <w:r>
        <w:rPr>
          <w:rFonts w:ascii="Bookman Old Style" w:cs="Bookman Old Style" w:hAnsi="Bookman Old Style"/>
          <w:szCs w:val="24"/>
          <w:lang w:val="en-US"/>
        </w:rPr>
        <w:t xml:space="preserve"> („Rat protiv sopstvene države“).</w:t>
      </w:r>
    </w:p>
    <w:p>
      <w:pPr>
        <w:pStyle w:val="style0"/>
        <w:jc w:val="both"/>
        <w:rPr>
          <w:rFonts w:ascii="Bookman Old Style" w:cs="Bookman Old Style" w:hAnsi="Bookman Old Style"/>
          <w:szCs w:val="24"/>
          <w:lang w:val="en-US"/>
        </w:rPr>
      </w:pPr>
      <w:r>
        <w:rPr>
          <w:rFonts w:ascii="Bookman Old Style" w:cs="Bookman Old Style" w:hAnsi="Bookman Old Style"/>
          <w:i/>
          <w:iCs/>
          <w:szCs w:val="24"/>
          <w:lang w:val="en-US"/>
        </w:rPr>
        <w:t>Večernje novosti</w:t>
      </w:r>
      <w:r>
        <w:rPr>
          <w:rFonts w:ascii="Bookman Old Style" w:cs="Bookman Old Style" w:hAnsi="Bookman Old Style"/>
          <w:szCs w:val="24"/>
          <w:lang w:val="en-US"/>
        </w:rPr>
        <w:t xml:space="preserve"> u spornom tekstu koriste istu matricu kao tokom ratova devedesetih. Osim toga, akademik Smilja Avramov ponavlja i niz neistina koje su do sada više puta demantovane, što bi trebalo da bude poznato svakom novinaru koji piše o Helsinškom odboru. Netačno je da je Sonja Biserko izbačena iz SIP, kao i da je Helsinški odbor medjunarodna organizacija. </w:t>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t xml:space="preserve">Policija poseduje i informacije o brojnim pretnjama nasiljem koje su poslednjih godina upućivane Sonji Biserko lično i Helsinškom odboru. </w:t>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t xml:space="preserve">Ono što posebno zabrinjava jeste kontekst u kome su tekstovi koje navodimo objavljeni. Podsećamo da su u Srbiji veoma aktivne neonacističke, i organizacije ekstremne desnice koje su, osim što propagiraju ideologiju nacionalizma, krvi i tla, vinovnici brojnih incidenata protiv predstavnika manjina, zaštitnika ljudskih prava i političkih neistomišljenika. </w:t>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t xml:space="preserve">Zbog svega ovoga, a posebno zabrinuti zbog mogućih posledica, molimo vas da ovu žalbu razmotrite po hitnom postupku. U prilogu vam dostavljamo tekstove - molimo vas da ih i vi analizirate.  </w:t>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r>
    </w:p>
    <w:p>
      <w:pPr>
        <w:pStyle w:val="style0"/>
        <w:ind w:firstLine="720" w:left="3600" w:right="0"/>
        <w:jc w:val="both"/>
        <w:rPr>
          <w:rFonts w:ascii="Bookman Old Style" w:cs="Bookman Old Style" w:hAnsi="Bookman Old Style"/>
          <w:szCs w:val="24"/>
          <w:lang w:val="en-US"/>
        </w:rPr>
      </w:pPr>
      <w:r>
        <w:rPr>
          <w:rFonts w:ascii="Bookman Old Style" w:cs="Bookman Old Style" w:hAnsi="Bookman Old Style"/>
          <w:szCs w:val="24"/>
          <w:lang w:val="en-US"/>
        </w:rPr>
        <w:t>Podnosilac žalbe:</w:t>
      </w:r>
    </w:p>
    <w:p>
      <w:pPr>
        <w:pStyle w:val="style0"/>
        <w:jc w:val="both"/>
        <w:rPr>
          <w:rFonts w:ascii="Bookman Old Style" w:cs="Bookman Old Style" w:hAnsi="Bookman Old Style"/>
          <w:szCs w:val="24"/>
          <w:lang w:val="en-US"/>
        </w:rPr>
      </w:pPr>
      <w:r>
        <w:rPr>
          <w:rFonts w:ascii="Bookman Old Style" w:cs="Bookman Old Style" w:hAnsi="Bookman Old Style"/>
          <w:szCs w:val="24"/>
          <w:lang w:val="en-US"/>
        </w:rPr>
      </w:r>
    </w:p>
    <w:p>
      <w:pPr>
        <w:pStyle w:val="style0"/>
        <w:ind w:hanging="0" w:left="4320" w:right="0"/>
        <w:jc w:val="both"/>
        <w:rPr>
          <w:rFonts w:ascii="Bookman Old Style" w:cs="Bookman Old Style" w:hAnsi="Bookman Old Style"/>
          <w:szCs w:val="24"/>
          <w:lang w:val="en-US"/>
        </w:rPr>
      </w:pPr>
      <w:r>
        <w:rPr>
          <w:rFonts w:ascii="Bookman Old Style" w:cs="Bookman Old Style" w:hAnsi="Bookman Old Style"/>
          <w:szCs w:val="24"/>
          <w:lang w:val="en-US"/>
        </w:rPr>
        <w:t xml:space="preserve">Helsinški odbor za ljudska prava u Srbiji </w:t>
      </w:r>
    </w:p>
    <w:p>
      <w:pPr>
        <w:pStyle w:val="style0"/>
        <w:jc w:val="both"/>
        <w:rPr>
          <w:lang w:val="en-US"/>
        </w:rPr>
      </w:pPr>
      <w:r>
        <w:rPr>
          <w:lang w:val="en-US"/>
        </w:rPr>
      </w:r>
    </w:p>
    <w:p>
      <w:pPr>
        <w:pStyle w:val="style0"/>
        <w:jc w:val="both"/>
        <w:rPr>
          <w:lang w:val="en-US"/>
        </w:rPr>
      </w:pPr>
      <w:r>
        <w:rPr>
          <w:lang w:val="en-US"/>
        </w:rPr>
      </w:r>
    </w:p>
    <w:p>
      <w:pPr>
        <w:pStyle w:val="style0"/>
        <w:jc w:val="both"/>
        <w:rPr>
          <w:lang w:val="en-US"/>
        </w:rPr>
      </w:pPr>
      <w:r>
        <w:rPr>
          <w:lang w:val="en-US"/>
        </w:rPr>
      </w:r>
    </w:p>
    <w:p>
      <w:pPr>
        <w:pStyle w:val="style0"/>
        <w:jc w:val="both"/>
        <w:rPr>
          <w:lang w:val="en-US"/>
        </w:rPr>
      </w:pPr>
      <w:r>
        <w:rPr>
          <w:lang w:val="en-US"/>
        </w:rPr>
      </w:r>
    </w:p>
    <w:p>
      <w:pPr>
        <w:pStyle w:val="style0"/>
        <w:jc w:val="both"/>
        <w:rPr>
          <w:rFonts w:ascii="Times New Roman" w:hAnsi="Times New Roman"/>
          <w:lang w:val="en-US"/>
        </w:rPr>
      </w:pPr>
      <w:r>
        <w:rPr>
          <w:rFonts w:ascii="Times New Roman" w:hAnsi="Times New Roman"/>
          <w:lang w:val="en-US"/>
        </w:rPr>
      </w:r>
    </w:p>
    <w:p>
      <w:pPr>
        <w:pStyle w:val="style0"/>
        <w:rPr/>
      </w:pPr>
      <w:r>
        <w:rPr/>
        <w:drawing>
          <wp:inline distB="0" distL="0" distR="0" distT="0">
            <wp:extent cx="5943600" cy="8077200"/>
            <wp:effectExtent b="0" l="0" r="0" t="0"/>
            <wp:docPr descr="" id="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0" name="Picture"/>
                    <pic:cNvPicPr>
                      <a:picLocks noChangeArrowheads="1" noChangeAspect="1"/>
                    </pic:cNvPicPr>
                  </pic:nvPicPr>
                  <pic:blipFill>
                    <a:blip r:embed="rId7"/>
                    <a:srcRect/>
                    <a:stretch>
                      <a:fillRect/>
                    </a:stretch>
                  </pic:blipFill>
                  <pic:spPr bwMode="auto">
                    <a:xfrm>
                      <a:off x="0" y="0"/>
                      <a:ext cx="5943600" cy="8077200"/>
                    </a:xfrm>
                    <a:prstGeom prst="rect">
                      <a:avLst/>
                    </a:prstGeom>
                    <a:noFill/>
                    <a:ln w="9525">
                      <a:noFill/>
                      <a:miter lim="800000"/>
                      <a:headEnd/>
                      <a:tailEnd/>
                    </a:ln>
                  </pic:spPr>
                </pic:pic>
              </a:graphicData>
            </a:graphic>
          </wp:inline>
        </w:drawing>
      </w:r>
    </w:p>
    <w:p>
      <w:pPr>
        <w:pStyle w:val="style0"/>
        <w:rPr/>
      </w:pPr>
      <w:r>
        <w:rPr/>
        <w:drawing>
          <wp:inline distB="0" distL="0" distR="0" distT="0">
            <wp:extent cx="4562475" cy="5972175"/>
            <wp:effectExtent b="0" l="0" r="0" t="0"/>
            <wp:docPr descr=""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1" name="Picture"/>
                    <pic:cNvPicPr>
                      <a:picLocks noChangeArrowheads="1" noChangeAspect="1"/>
                    </pic:cNvPicPr>
                  </pic:nvPicPr>
                  <pic:blipFill>
                    <a:blip r:embed="rId8"/>
                    <a:srcRect/>
                    <a:stretch>
                      <a:fillRect/>
                    </a:stretch>
                  </pic:blipFill>
                  <pic:spPr bwMode="auto">
                    <a:xfrm>
                      <a:off x="0" y="0"/>
                      <a:ext cx="4562475" cy="5972175"/>
                    </a:xfrm>
                    <a:prstGeom prst="rect">
                      <a:avLst/>
                    </a:prstGeom>
                    <a:noFill/>
                    <a:ln w="9525">
                      <a:noFill/>
                      <a:miter lim="800000"/>
                      <a:headEnd/>
                      <a:tailEnd/>
                    </a:ln>
                  </pic:spPr>
                </pic:pic>
              </a:graphicData>
            </a:graphic>
          </wp:inline>
        </w:drawing>
      </w:r>
    </w:p>
    <w:p>
      <w:pPr>
        <w:pStyle w:val="style0"/>
        <w:rPr/>
      </w:pPr>
      <w:r>
        <w:rPr/>
        <w:drawing>
          <wp:inline distB="0" distL="0" distR="0" distT="0">
            <wp:extent cx="5943600" cy="5372100"/>
            <wp:effectExtent b="0" l="0" r="0" t="0"/>
            <wp:docPr desc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2" name="Picture"/>
                    <pic:cNvPicPr>
                      <a:picLocks noChangeArrowheads="1" noChangeAspect="1"/>
                    </pic:cNvPicPr>
                  </pic:nvPicPr>
                  <pic:blipFill>
                    <a:blip r:embed="rId9"/>
                    <a:srcRect/>
                    <a:stretch>
                      <a:fillRect/>
                    </a:stretch>
                  </pic:blipFill>
                  <pic:spPr bwMode="auto">
                    <a:xfrm>
                      <a:off x="0" y="0"/>
                      <a:ext cx="5943600" cy="5372100"/>
                    </a:xfrm>
                    <a:prstGeom prst="rect">
                      <a:avLst/>
                    </a:prstGeom>
                    <a:noFill/>
                    <a:ln w="9525">
                      <a:noFill/>
                      <a:miter lim="800000"/>
                      <a:headEnd/>
                      <a:tailEnd/>
                    </a:ln>
                  </pic:spPr>
                </pic:pic>
              </a:graphicData>
            </a:graphic>
          </wp:inline>
        </w:drawing>
      </w:r>
    </w:p>
    <w:p>
      <w:pPr>
        <w:pStyle w:val="style0"/>
        <w:rPr/>
      </w:pPr>
      <w:r>
        <w:rPr/>
      </w:r>
    </w:p>
    <w:p>
      <w:pPr>
        <w:pStyle w:val="style0"/>
        <w:rPr/>
      </w:pPr>
      <w:r>
        <w:rPr/>
        <w:drawing>
          <wp:inline distB="0" distL="0" distR="0" distT="0">
            <wp:extent cx="5743575" cy="8324850"/>
            <wp:effectExtent b="0" l="0" r="0" t="0"/>
            <wp:docPr descr="" id="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3" name="Picture"/>
                    <pic:cNvPicPr>
                      <a:picLocks noChangeArrowheads="1" noChangeAspect="1"/>
                    </pic:cNvPicPr>
                  </pic:nvPicPr>
                  <pic:blipFill>
                    <a:blip r:embed="rId10"/>
                    <a:srcRect/>
                    <a:stretch>
                      <a:fillRect/>
                    </a:stretch>
                  </pic:blipFill>
                  <pic:spPr bwMode="auto">
                    <a:xfrm>
                      <a:off x="0" y="0"/>
                      <a:ext cx="5743575" cy="8324850"/>
                    </a:xfrm>
                    <a:prstGeom prst="rect">
                      <a:avLst/>
                    </a:prstGeom>
                    <a:noFill/>
                    <a:ln w="9525">
                      <a:noFill/>
                      <a:miter lim="800000"/>
                      <a:headEnd/>
                      <a:tailEnd/>
                    </a:ln>
                  </pic:spPr>
                </pic:pic>
              </a:graphicData>
            </a:graphic>
          </wp:inline>
        </w:drawing>
      </w:r>
    </w:p>
    <w:p>
      <w:pPr>
        <w:pStyle w:val="style0"/>
        <w:rPr/>
      </w:pPr>
      <w:r>
        <w:rPr/>
        <w:drawing>
          <wp:inline distB="0" distL="0" distR="0" distT="0">
            <wp:extent cx="5943600" cy="8181975"/>
            <wp:effectExtent b="0" l="0" r="0" t="0"/>
            <wp:docPr descr="" id="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4" name="Picture"/>
                    <pic:cNvPicPr>
                      <a:picLocks noChangeArrowheads="1" noChangeAspect="1"/>
                    </pic:cNvPicPr>
                  </pic:nvPicPr>
                  <pic:blipFill>
                    <a:blip r:embed="rId11"/>
                    <a:srcRect/>
                    <a:stretch>
                      <a:fillRect/>
                    </a:stretch>
                  </pic:blipFill>
                  <pic:spPr bwMode="auto">
                    <a:xfrm>
                      <a:off x="0" y="0"/>
                      <a:ext cx="5943600" cy="8181975"/>
                    </a:xfrm>
                    <a:prstGeom prst="rect">
                      <a:avLst/>
                    </a:prstGeom>
                    <a:noFill/>
                    <a:ln w="9525">
                      <a:noFill/>
                      <a:miter lim="800000"/>
                      <a:headEnd/>
                      <a:tailEnd/>
                    </a:ln>
                  </pic:spPr>
                </pic:pic>
              </a:graphicData>
            </a:graphic>
          </wp:inline>
        </w:drawing>
      </w:r>
    </w:p>
    <w:p>
      <w:pPr>
        <w:pStyle w:val="style0"/>
        <w:rPr/>
      </w:pPr>
      <w:r>
        <w:rPr/>
        <w:drawing>
          <wp:inline distB="0" distL="0" distR="0" distT="0">
            <wp:extent cx="5943600" cy="8086725"/>
            <wp:effectExtent b="0" l="0" r="0" t="0"/>
            <wp:docPr descr="" id="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5" name="Picture"/>
                    <pic:cNvPicPr>
                      <a:picLocks noChangeArrowheads="1" noChangeAspect="1"/>
                    </pic:cNvPicPr>
                  </pic:nvPicPr>
                  <pic:blipFill>
                    <a:blip r:embed="rId12"/>
                    <a:srcRect/>
                    <a:stretch>
                      <a:fillRect/>
                    </a:stretch>
                  </pic:blipFill>
                  <pic:spPr bwMode="auto">
                    <a:xfrm>
                      <a:off x="0" y="0"/>
                      <a:ext cx="5943600" cy="8086725"/>
                    </a:xfrm>
                    <a:prstGeom prst="rect">
                      <a:avLst/>
                    </a:prstGeom>
                    <a:noFill/>
                    <a:ln w="9525">
                      <a:noFill/>
                      <a:miter lim="800000"/>
                      <a:headEnd/>
                      <a:tailEnd/>
                    </a:ln>
                  </pic:spPr>
                </pic:pic>
              </a:graphicData>
            </a:graphic>
          </wp:inline>
        </w:drawing>
      </w:r>
    </w:p>
    <w:p>
      <w:pPr>
        <w:pStyle w:val="style0"/>
        <w:rPr/>
      </w:pPr>
      <w:r>
        <w:rPr/>
        <w:drawing>
          <wp:inline distB="0" distL="0" distR="0" distT="0">
            <wp:extent cx="5943600" cy="8352790"/>
            <wp:effectExtent b="0" l="0" r="0" t="0"/>
            <wp:docPr descr="" id="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6" name="Picture"/>
                    <pic:cNvPicPr>
                      <a:picLocks noChangeArrowheads="1" noChangeAspect="1"/>
                    </pic:cNvPicPr>
                  </pic:nvPicPr>
                  <pic:blipFill>
                    <a:blip r:embed="rId13"/>
                    <a:srcRect/>
                    <a:stretch>
                      <a:fillRect/>
                    </a:stretch>
                  </pic:blipFill>
                  <pic:spPr bwMode="auto">
                    <a:xfrm>
                      <a:off x="0" y="0"/>
                      <a:ext cx="5943600" cy="8352790"/>
                    </a:xfrm>
                    <a:prstGeom prst="rect">
                      <a:avLst/>
                    </a:prstGeom>
                    <a:noFill/>
                    <a:ln w="9525">
                      <a:noFill/>
                      <a:miter lim="800000"/>
                      <a:headEnd/>
                      <a:tailEnd/>
                    </a:ln>
                  </pic:spPr>
                </pic:pic>
              </a:graphicData>
            </a:graphic>
          </wp:inline>
        </w:drawing>
      </w:r>
    </w:p>
    <w:p>
      <w:pPr>
        <w:pStyle w:val="style0"/>
        <w:rPr/>
      </w:pPr>
      <w:r>
        <w:rPr/>
        <w:drawing>
          <wp:inline distB="0" distL="0" distR="0" distT="0">
            <wp:extent cx="5210175" cy="6762750"/>
            <wp:effectExtent b="0" l="0" r="0" t="0"/>
            <wp:docPr descr="" id="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7" name="Picture"/>
                    <pic:cNvPicPr>
                      <a:picLocks noChangeArrowheads="1" noChangeAspect="1"/>
                    </pic:cNvPicPr>
                  </pic:nvPicPr>
                  <pic:blipFill>
                    <a:blip r:embed="rId14"/>
                    <a:srcRect/>
                    <a:stretch>
                      <a:fillRect/>
                    </a:stretch>
                  </pic:blipFill>
                  <pic:spPr bwMode="auto">
                    <a:xfrm>
                      <a:off x="0" y="0"/>
                      <a:ext cx="5210175" cy="6762750"/>
                    </a:xfrm>
                    <a:prstGeom prst="rect">
                      <a:avLst/>
                    </a:prstGeom>
                    <a:noFill/>
                    <a:ln w="9525">
                      <a:noFill/>
                      <a:miter lim="800000"/>
                      <a:headEnd/>
                      <a:tailEnd/>
                    </a:ln>
                  </pic:spPr>
                </pic:pic>
              </a:graphicData>
            </a:graphic>
          </wp:inline>
        </w:drawing>
      </w:r>
    </w:p>
    <w:p>
      <w:pPr>
        <w:pStyle w:val="style0"/>
        <w:rPr/>
      </w:pPr>
      <w:r>
        <w:rPr/>
      </w:r>
    </w:p>
    <w:p>
      <w:pPr>
        <w:pStyle w:val="style0"/>
        <w:rPr/>
      </w:pPr>
      <w:r>
        <w:rPr/>
        <w:drawing>
          <wp:inline distB="0" distL="0" distR="0" distT="0">
            <wp:extent cx="5943600" cy="4543425"/>
            <wp:effectExtent b="0" l="0" r="0" t="0"/>
            <wp:docPr descr="" id="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8" name="Picture"/>
                    <pic:cNvPicPr>
                      <a:picLocks noChangeArrowheads="1" noChangeAspect="1"/>
                    </pic:cNvPicPr>
                  </pic:nvPicPr>
                  <pic:blipFill>
                    <a:blip r:embed="rId15"/>
                    <a:srcRect/>
                    <a:stretch>
                      <a:fillRect/>
                    </a:stretch>
                  </pic:blipFill>
                  <pic:spPr bwMode="auto">
                    <a:xfrm>
                      <a:off x="0" y="0"/>
                      <a:ext cx="5943600" cy="4543425"/>
                    </a:xfrm>
                    <a:prstGeom prst="rect">
                      <a:avLst/>
                    </a:prstGeom>
                    <a:noFill/>
                    <a:ln w="9525">
                      <a:noFill/>
                      <a:miter lim="800000"/>
                      <a:headEnd/>
                      <a:tailEnd/>
                    </a:ln>
                  </pic:spPr>
                </pic:pic>
              </a:graphicData>
            </a:graphic>
          </wp:inline>
        </w:drawing>
      </w:r>
    </w:p>
    <w:p>
      <w:pPr>
        <w:pStyle w:val="style0"/>
        <w:rPr/>
      </w:pPr>
      <w:bookmarkStart w:id="0" w:name="_GoBack"/>
      <w:bookmarkEnd w:id="0"/>
      <w:r>
        <w:rPr/>
        <w:drawing>
          <wp:inline distB="0" distL="0" distR="0" distT="0">
            <wp:extent cx="5943600" cy="4361815"/>
            <wp:effectExtent b="0" l="0" r="0" t="0"/>
            <wp:docPr descr="" id="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 id="9" name="Picture"/>
                    <pic:cNvPicPr>
                      <a:picLocks noChangeArrowheads="1" noChangeAspect="1"/>
                    </pic:cNvPicPr>
                  </pic:nvPicPr>
                  <pic:blipFill>
                    <a:blip r:embed="rId16"/>
                    <a:srcRect/>
                    <a:stretch>
                      <a:fillRect/>
                    </a:stretch>
                  </pic:blipFill>
                  <pic:spPr bwMode="auto">
                    <a:xfrm>
                      <a:off x="0" y="0"/>
                      <a:ext cx="5943600" cy="4361815"/>
                    </a:xfrm>
                    <a:prstGeom prst="rect">
                      <a:avLst/>
                    </a:prstGeom>
                    <a:noFill/>
                    <a:ln w="9525">
                      <a:noFill/>
                      <a:miter lim="800000"/>
                      <a:headEnd/>
                      <a:tailEnd/>
                    </a:ln>
                  </pic:spPr>
                </pic:pic>
              </a:graphicData>
            </a:graphic>
          </wp:inline>
        </w:drawing>
      </w:r>
    </w:p>
    <w:p>
      <w:pPr>
        <w:pStyle w:val="style0"/>
        <w:rPr/>
      </w:pPr>
      <w:r>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jc w:val="both"/>
        <w:rPr>
          <w:rFonts w:ascii="Times New Roman" w:hAnsi="Times New Roman"/>
          <w:lang w:val="en-US"/>
        </w:rPr>
      </w:pPr>
      <w:r>
        <w:rPr>
          <w:rFonts w:ascii="Times New Roman" w:hAnsi="Times New Roman"/>
          <w:lang w:val="en-US"/>
        </w:rPr>
      </w:r>
    </w:p>
    <w:p>
      <w:pPr>
        <w:pStyle w:val="style0"/>
        <w:spacing w:after="28" w:before="28"/>
        <w:contextualSpacing w:val="false"/>
        <w:rPr>
          <w:rFonts w:ascii="Times New Roman" w:hAnsi="Times New Roman"/>
          <w:b/>
          <w:bCs/>
          <w:sz w:val="18"/>
          <w:szCs w:val="18"/>
        </w:rPr>
      </w:pPr>
      <w:r>
        <w:rPr>
          <w:rFonts w:ascii="Times New Roman" w:hAnsi="Times New Roman"/>
          <w:b/>
          <w:bCs/>
          <w:sz w:val="18"/>
          <w:szCs w:val="18"/>
        </w:rPr>
        <w:t xml:space="preserve">Tekst je objavljen u Vecernjim Novostima 16. novembra 2013. </w:t>
      </w:r>
    </w:p>
    <w:p>
      <w:pPr>
        <w:pStyle w:val="style0"/>
        <w:spacing w:after="28" w:before="28"/>
        <w:contextualSpacing w:val="false"/>
        <w:rPr>
          <w:rFonts w:ascii="Times New Roman" w:hAnsi="Times New Roman"/>
          <w:b/>
          <w:bCs/>
          <w:sz w:val="18"/>
          <w:szCs w:val="18"/>
        </w:rPr>
      </w:pPr>
      <w:r>
        <w:rPr>
          <w:rFonts w:ascii="Times New Roman" w:hAnsi="Times New Roman"/>
          <w:b/>
          <w:bCs/>
          <w:sz w:val="18"/>
          <w:szCs w:val="18"/>
        </w:rPr>
      </w:r>
    </w:p>
    <w:p>
      <w:pPr>
        <w:pStyle w:val="style0"/>
        <w:spacing w:after="28" w:before="28"/>
        <w:contextualSpacing w:val="false"/>
        <w:rPr>
          <w:rFonts w:ascii="Times New Roman" w:hAnsi="Times New Roman"/>
          <w:b/>
          <w:bCs/>
          <w:sz w:val="18"/>
          <w:szCs w:val="18"/>
        </w:rPr>
      </w:pPr>
      <w:hyperlink r:id="rId17">
        <w:r>
          <w:rPr>
            <w:rStyle w:val="style17"/>
            <w:rFonts w:ascii="Times New Roman" w:hAnsi="Times New Roman"/>
            <w:b/>
            <w:bCs/>
            <w:sz w:val="18"/>
            <w:szCs w:val="18"/>
          </w:rPr>
          <w:t>http://www.novosti.rs/vesti/naslovna/politika/aktuelno.289.html:463952-Sasa-Obradovic-Imamo-jake-dokaze-protiv-Hrvatske</w:t>
        </w:r>
      </w:hyperlink>
      <w:r>
        <w:rPr>
          <w:rFonts w:ascii="Times New Roman" w:hAnsi="Times New Roman"/>
          <w:b/>
          <w:bCs/>
          <w:sz w:val="18"/>
          <w:szCs w:val="18"/>
        </w:rPr>
        <w:t xml:space="preserve"> </w:t>
      </w:r>
    </w:p>
    <w:p>
      <w:pPr>
        <w:pStyle w:val="style0"/>
        <w:spacing w:after="28" w:before="28"/>
        <w:contextualSpacing w:val="false"/>
        <w:rPr>
          <w:rFonts w:ascii="Times New Roman" w:hAnsi="Times New Roman"/>
          <w:b/>
          <w:bCs/>
          <w:sz w:val="36"/>
          <w:szCs w:val="36"/>
        </w:rPr>
      </w:pPr>
      <w:r>
        <w:rPr>
          <w:rFonts w:ascii="Times New Roman" w:hAnsi="Times New Roman"/>
          <w:b/>
          <w:bCs/>
          <w:sz w:val="36"/>
          <w:szCs w:val="36"/>
        </w:rPr>
        <w:t>Saša Obradović: Srbija ima dokaze protiv Hrvatske</w:t>
      </w:r>
    </w:p>
    <w:p>
      <w:pPr>
        <w:pStyle w:val="style0"/>
        <w:rPr>
          <w:rStyle w:val="style17"/>
          <w:rFonts w:ascii="Times New Roman" w:hAnsi="Times New Roman"/>
          <w:color w:val="0000FF"/>
          <w:szCs w:val="24"/>
          <w:u w:val="single"/>
        </w:rPr>
      </w:pPr>
      <w:r>
        <w:rPr>
          <w:rFonts w:ascii="Times New Roman" w:hAnsi="Times New Roman"/>
          <w:szCs w:val="24"/>
        </w:rPr>
        <w:t xml:space="preserve">D. MILINKOVIĆ | 15. novembar 2013. 21:20 | </w:t>
      </w:r>
      <w:hyperlink r:id="rId18">
        <w:r>
          <w:rPr>
            <w:rStyle w:val="style17"/>
            <w:rFonts w:ascii="Times New Roman" w:hAnsi="Times New Roman"/>
            <w:color w:val="0000FF"/>
            <w:szCs w:val="24"/>
            <w:u w:val="single"/>
          </w:rPr>
          <w:t xml:space="preserve">Komentara: </w:t>
        </w:r>
        <w:r>
          <w:rPr>
            <w:rStyle w:val="style17"/>
            <w:rFonts w:ascii="Times New Roman" w:hAnsi="Times New Roman"/>
            <w:b/>
            <w:bCs/>
            <w:color w:val="0000FF"/>
            <w:szCs w:val="24"/>
            <w:u w:val="single"/>
          </w:rPr>
          <w:t>20</w:t>
        </w:r>
        <w:r>
          <w:rPr>
            <w:rStyle w:val="style17"/>
            <w:rFonts w:ascii="Times New Roman" w:hAnsi="Times New Roman"/>
            <w:color w:val="0000FF"/>
            <w:szCs w:val="24"/>
            <w:u w:val="single"/>
          </w:rPr>
          <w:t xml:space="preserve"> </w:t>
        </w:r>
      </w:hyperlink>
    </w:p>
    <w:p>
      <w:pPr>
        <w:pStyle w:val="style0"/>
        <w:spacing w:after="28" w:before="28"/>
        <w:contextualSpacing w:val="false"/>
        <w:rPr>
          <w:rFonts w:ascii="Times New Roman" w:hAnsi="Times New Roman"/>
          <w:szCs w:val="24"/>
        </w:rPr>
      </w:pPr>
      <w:r>
        <w:rPr>
          <w:rFonts w:ascii="Times New Roman" w:hAnsi="Times New Roman"/>
          <w:szCs w:val="24"/>
        </w:rPr>
        <w:t>Šef našeg pravnog tima Saša Obradović o tužbama Beograda i Zagreba za genocid: Moguća su četiri ishoda, pa i povlačenje. Oslobađanje Gotovine nam ne otežava poziciju</w:t>
      </w:r>
    </w:p>
    <w:p>
      <w:pPr>
        <w:pStyle w:val="style0"/>
        <w:spacing w:after="28" w:before="28"/>
        <w:contextualSpacing w:val="false"/>
        <w:rPr/>
      </w:pPr>
      <w:r>
        <w:rPr/>
      </w:r>
    </w:p>
    <w:p>
      <w:pPr>
        <w:pStyle w:val="style0"/>
        <w:rPr>
          <w:rFonts w:ascii="Calibri" w:cs="Calibri" w:hAnsi="Calibri"/>
        </w:rPr>
      </w:pPr>
      <w:r>
        <w:rPr>
          <w:rFonts w:ascii="Calibri" w:cs="Calibri" w:hAnsi="Calibri"/>
        </w:rPr>
        <w:t>TEŠKO je unapred govoriti o ishodu procesa koji Srbija i Hrvatska vode pred Međunarodnim sudom pravde u Hagu u slučaju međusobnih optužbi za genocid, ali mogu da garantujem da će naš pravni tim izneti jaku argumentaciju, na visoko profesionalnom nivou.</w:t>
      </w:r>
    </w:p>
    <w:p>
      <w:pPr>
        <w:pStyle w:val="style0"/>
        <w:rPr>
          <w:rFonts w:ascii="Calibri" w:cs="Calibri" w:hAnsi="Calibri"/>
        </w:rPr>
      </w:pPr>
      <w:r>
        <w:rPr>
          <w:rFonts w:ascii="Calibri" w:cs="Calibri" w:hAnsi="Calibri"/>
        </w:rPr>
        <w:t>Saša Obradović, šef našeg pravnog tima pred MSP, kaže u intervjuu za „Novosti“ da će usmena rasprava, koja je zakazana za 3. mart sledeće godine, najverovatnije trajati oko mesec dana, kao i da su obe strane spremile hiljade stranica materijala i mnogobrojne svedoke.</w:t>
      </w:r>
    </w:p>
    <w:p>
      <w:pPr>
        <w:pStyle w:val="style0"/>
        <w:rPr>
          <w:rFonts w:ascii="Calibri" w:cs="Calibri" w:hAnsi="Calibri"/>
        </w:rPr>
      </w:pPr>
      <w:r>
        <w:rPr>
          <w:rFonts w:ascii="Calibri" w:cs="Calibri" w:hAnsi="Calibri"/>
        </w:rPr>
      </w:r>
    </w:p>
    <w:p>
      <w:pPr>
        <w:pStyle w:val="style0"/>
        <w:rPr>
          <w:rFonts w:ascii="Calibri" w:cs="Calibri" w:hAnsi="Calibri"/>
        </w:rPr>
      </w:pPr>
      <w:r>
        <w:rPr>
          <w:rFonts w:ascii="Calibri" w:cs="Calibri" w:hAnsi="Calibri"/>
        </w:rPr>
        <w:t>- Konačnu presudu ne treba očekivati pre kraja 2014. ili početka 2015. Četiri su moguća ishoda: da sud presudi da je bilo genocida na jednoj ili drugoj strani, da su Srbija i Hrvatska počinile genocid, ili da genocida nije bilo. Ali, ono što je veoma važno je to što će posle okončanja procesa, ovaj spor biti skinut sa političke agende dveju država.</w:t>
      </w:r>
    </w:p>
    <w:p>
      <w:pPr>
        <w:pStyle w:val="style0"/>
        <w:rPr>
          <w:rFonts w:ascii="Calibri" w:cs="Calibri" w:hAnsi="Calibri"/>
        </w:rPr>
      </w:pPr>
      <w:r>
        <w:rPr>
          <w:rFonts w:ascii="Calibri" w:cs="Calibri" w:hAnsi="Calibri"/>
        </w:rPr>
      </w:r>
    </w:p>
    <w:p>
      <w:pPr>
        <w:pStyle w:val="style0"/>
        <w:rPr>
          <w:rFonts w:ascii="Calibri" w:cs="Calibri" w:hAnsi="Calibri"/>
        </w:rPr>
      </w:pPr>
      <w:r>
        <w:rPr>
          <w:rFonts w:ascii="Calibri" w:cs="Calibri" w:hAnsi="Calibri"/>
        </w:rPr>
        <w:t xml:space="preserve">* Mislite li da bi bilo bolje da su dve strane povukle tužbe? </w:t>
      </w:r>
    </w:p>
    <w:p>
      <w:pPr>
        <w:pStyle w:val="style0"/>
        <w:rPr>
          <w:rFonts w:ascii="Calibri" w:cs="Calibri" w:hAnsi="Calibri"/>
        </w:rPr>
      </w:pPr>
      <w:r>
        <w:rPr>
          <w:rFonts w:ascii="Calibri" w:cs="Calibri" w:hAnsi="Calibri"/>
        </w:rPr>
      </w:r>
    </w:p>
    <w:p>
      <w:pPr>
        <w:pStyle w:val="style0"/>
        <w:rPr>
          <w:rFonts w:ascii="Calibri" w:cs="Calibri" w:hAnsi="Calibri"/>
        </w:rPr>
      </w:pPr>
      <w:r>
        <w:rPr>
          <w:rFonts w:ascii="Calibri" w:cs="Calibri" w:hAnsi="Calibri"/>
        </w:rPr>
        <w:t>- Za vansudski dogovor uvek postoji mogućnost, ali to je pitanje za vlade. Naš pravni tim je dobio instrukciju da zastupa državu pred MSP i mi nismo ti koji mogu da odlučuju o pomirenju.</w:t>
      </w:r>
    </w:p>
    <w:p>
      <w:pPr>
        <w:pStyle w:val="style0"/>
        <w:rPr>
          <w:rFonts w:ascii="Calibri" w:cs="Calibri" w:hAnsi="Calibri"/>
        </w:rPr>
      </w:pPr>
      <w:r>
        <w:rPr>
          <w:rFonts w:ascii="Calibri" w:cs="Calibri" w:hAnsi="Calibri"/>
        </w:rPr>
      </w:r>
    </w:p>
    <w:p>
      <w:pPr>
        <w:pStyle w:val="style0"/>
        <w:rPr>
          <w:rFonts w:ascii="Calibri" w:cs="Calibri" w:hAnsi="Calibri"/>
        </w:rPr>
      </w:pPr>
      <w:r>
        <w:rPr>
          <w:rFonts w:ascii="Calibri" w:cs="Calibri" w:hAnsi="Calibri"/>
        </w:rPr>
        <w:t>* Može li politički dogovor dveju strana da se postigne i pošto počne usmena rasprava, ili spor mora da dobije epilog na sudu?</w:t>
      </w:r>
    </w:p>
    <w:p>
      <w:pPr>
        <w:pStyle w:val="style0"/>
        <w:rPr>
          <w:rFonts w:ascii="Calibri" w:cs="Calibri" w:hAnsi="Calibri"/>
        </w:rPr>
      </w:pPr>
      <w:r>
        <w:rPr>
          <w:rFonts w:ascii="Calibri" w:cs="Calibri" w:hAnsi="Calibri"/>
        </w:rPr>
        <w:t xml:space="preserve">* Koje dokaze će Srbija predočiti sudu i ko će svedočiti u našu korist? Pominje se da će Hrvatima stranu držati Sonja Biserko... </w:t>
      </w:r>
    </w:p>
    <w:p>
      <w:pPr>
        <w:pStyle w:val="style0"/>
        <w:rPr>
          <w:rFonts w:ascii="Calibri" w:cs="Calibri" w:hAnsi="Calibri"/>
        </w:rPr>
      </w:pPr>
      <w:r>
        <w:rPr>
          <w:rFonts w:ascii="Calibri" w:cs="Calibri" w:hAnsi="Calibri"/>
        </w:rPr>
      </w:r>
    </w:p>
    <w:p>
      <w:pPr>
        <w:pStyle w:val="style0"/>
        <w:rPr>
          <w:rFonts w:ascii="Calibri" w:cs="Calibri" w:hAnsi="Calibri"/>
        </w:rPr>
      </w:pPr>
      <w:r>
        <w:rPr>
          <w:rFonts w:ascii="Calibri" w:cs="Calibri" w:hAnsi="Calibri"/>
        </w:rPr>
        <w:t>- Sa hrvatskom stranom napravili smo dogovor da o dokazima ne govorimo u javnosti. Time niko ne dobija. Samo se podižu strasti. Nemamo pravo ni da tri meseca pred početak suđenja objavljujemo imena svedoka, jer bi to ugrozilo njihovu sigurnost.</w:t>
      </w:r>
    </w:p>
    <w:p>
      <w:pPr>
        <w:pStyle w:val="style0"/>
        <w:rPr>
          <w:rFonts w:ascii="Calibri" w:cs="Calibri" w:hAnsi="Calibri"/>
        </w:rPr>
      </w:pPr>
      <w:r>
        <w:rPr>
          <w:rFonts w:ascii="Calibri" w:cs="Calibri" w:hAnsi="Calibri"/>
        </w:rPr>
      </w:r>
    </w:p>
    <w:p>
      <w:pPr>
        <w:pStyle w:val="style0"/>
        <w:rPr>
          <w:rFonts w:ascii="Calibri" w:cs="Calibri" w:hAnsi="Calibri"/>
        </w:rPr>
      </w:pPr>
      <w:r>
        <w:rPr>
          <w:rFonts w:ascii="Calibri" w:cs="Calibri" w:hAnsi="Calibri"/>
        </w:rPr>
        <w:t xml:space="preserve">* Prema nekim informacijama, naša strana ima osam svedoka, a Hrvatska 12... </w:t>
      </w:r>
    </w:p>
    <w:p>
      <w:pPr>
        <w:pStyle w:val="style0"/>
        <w:rPr>
          <w:rFonts w:ascii="Calibri" w:cs="Calibri" w:hAnsi="Calibri"/>
        </w:rPr>
      </w:pPr>
      <w:r>
        <w:rPr>
          <w:rFonts w:ascii="Calibri" w:cs="Calibri" w:hAnsi="Calibri"/>
        </w:rPr>
      </w:r>
    </w:p>
    <w:p>
      <w:pPr>
        <w:pStyle w:val="style0"/>
        <w:rPr>
          <w:rFonts w:ascii="Calibri" w:cs="Calibri" w:hAnsi="Calibri"/>
        </w:rPr>
      </w:pPr>
      <w:r>
        <w:rPr>
          <w:rFonts w:ascii="Calibri" w:cs="Calibri" w:hAnsi="Calibri"/>
        </w:rPr>
        <w:t>- Svedoka ima mnogo, ali koliko će ih se pojaviti na sudu još nije utvrđeno. Postoje svedoci koji su svoje iskaze davali pred Tribunalom i njihove izjave mogu biti korišćene pred MSP kao dokumenta, kao što su dostavljene i izjave ljudi koji su svedočili pred domaćim organima u procesu prikupljanja činjenica o zločinima.</w:t>
      </w:r>
    </w:p>
    <w:p>
      <w:pPr>
        <w:pStyle w:val="style0"/>
        <w:rPr>
          <w:rFonts w:ascii="Calibri" w:cs="Calibri" w:hAnsi="Calibri"/>
        </w:rPr>
      </w:pPr>
      <w:r>
        <w:rPr>
          <w:rFonts w:ascii="Calibri" w:cs="Calibri" w:hAnsi="Calibri"/>
        </w:rPr>
      </w:r>
    </w:p>
    <w:p>
      <w:pPr>
        <w:pStyle w:val="style0"/>
        <w:rPr>
          <w:rFonts w:ascii="Calibri" w:cs="Calibri" w:hAnsi="Calibri"/>
        </w:rPr>
      </w:pPr>
      <w:r>
        <w:rPr>
          <w:rFonts w:ascii="Calibri" w:cs="Calibri" w:hAnsi="Calibri"/>
        </w:rPr>
        <w:t>* Koliko Srbiji oslobađajuća presuda Gotovini i Markaču može da oteža dokazivanje genocida?</w:t>
      </w:r>
    </w:p>
    <w:p>
      <w:pPr>
        <w:pStyle w:val="style0"/>
        <w:rPr>
          <w:rFonts w:ascii="Calibri" w:cs="Calibri" w:hAnsi="Calibri"/>
        </w:rPr>
      </w:pPr>
      <w:r>
        <w:rPr>
          <w:rFonts w:ascii="Calibri" w:cs="Calibri" w:hAnsi="Calibri"/>
        </w:rPr>
      </w:r>
    </w:p>
    <w:p>
      <w:pPr>
        <w:pStyle w:val="style0"/>
        <w:rPr>
          <w:rFonts w:ascii="Calibri" w:cs="Calibri" w:hAnsi="Calibri"/>
        </w:rPr>
      </w:pPr>
      <w:r>
        <w:rPr>
          <w:rFonts w:ascii="Calibri" w:cs="Calibri" w:hAnsi="Calibri"/>
        </w:rPr>
        <w:t>- Neprijatna je činjenica da je takva odluka doneta. Ali, s druge strane, predmeti oba slučaja, pred MSP i pred Tribunalom, u krivično-pravnom smislu su različiti. Hrvatski generali su pred Tribunalom bili gonjeni za nešto što nije predmet postupka pred MSP.</w:t>
      </w:r>
    </w:p>
    <w:p>
      <w:pPr>
        <w:pStyle w:val="style0"/>
        <w:rPr/>
      </w:pPr>
      <w:r>
        <w:rPr/>
      </w:r>
    </w:p>
    <w:p>
      <w:pPr>
        <w:pStyle w:val="style0"/>
        <w:rPr>
          <w:rFonts w:ascii="Calibri" w:cs="Calibri" w:hAnsi="Calibri"/>
        </w:rPr>
      </w:pPr>
      <w:r>
        <w:rPr>
          <w:rFonts w:ascii="Calibri" w:cs="Calibri" w:hAnsi="Calibri"/>
        </w:rPr>
        <w:t>* Ukoliko samo jedna strana bude osuđena, da li to automatski povlači i presudu o odšteti ili se pokreće poseban spor?</w:t>
      </w:r>
    </w:p>
    <w:p>
      <w:pPr>
        <w:pStyle w:val="style0"/>
        <w:rPr>
          <w:rFonts w:ascii="Calibri" w:cs="Calibri" w:hAnsi="Calibri"/>
        </w:rPr>
      </w:pPr>
      <w:r>
        <w:rPr>
          <w:rFonts w:ascii="Calibri" w:cs="Calibri" w:hAnsi="Calibri"/>
        </w:rPr>
      </w:r>
    </w:p>
    <w:p>
      <w:pPr>
        <w:pStyle w:val="style0"/>
        <w:rPr>
          <w:rFonts w:ascii="Calibri" w:cs="Calibri" w:hAnsi="Calibri"/>
        </w:rPr>
      </w:pPr>
      <w:r>
        <w:rPr>
          <w:rFonts w:ascii="Calibri" w:cs="Calibri" w:hAnsi="Calibri"/>
        </w:rPr>
        <w:t>- To je praktično isti spor, ali posebna procedura. Sud bi naprosto utvrdio osnov za postojanje reparacije, ali bi ostavio i izvestan rok državama da o tome postignu dogovor. Ako se to ne desi, onda država koja je spor dobila, traži da sud odredi visinu odštete. Ovog momenta ne postoji nikakva zvanična cifra kolika bi odšteta bila. Hrvatska zahteva naknadu celokupne materijalne i nematerijalne štete proizvedene ratom od 1991. do 1995, sa izgubljenom ekonomskom dobiti. Mi - naknadu šteta građanima srpske nacionalnosti koji su žrtve „Oluje“.</w:t>
      </w:r>
    </w:p>
    <w:p>
      <w:pPr>
        <w:pStyle w:val="style0"/>
        <w:rPr>
          <w:rFonts w:ascii="Calibri" w:cs="Calibri" w:hAnsi="Calibri"/>
        </w:rPr>
      </w:pPr>
      <w:r>
        <w:rPr>
          <w:rFonts w:ascii="Calibri" w:cs="Calibri" w:hAnsi="Calibri"/>
        </w:rPr>
      </w:r>
    </w:p>
    <w:p>
      <w:pPr>
        <w:pStyle w:val="style0"/>
        <w:rPr>
          <w:rFonts w:ascii="Calibri" w:cs="Calibri" w:hAnsi="Calibri"/>
        </w:rPr>
      </w:pPr>
      <w:r>
        <w:rPr>
          <w:rFonts w:ascii="Calibri" w:cs="Calibri" w:hAnsi="Calibri"/>
        </w:rPr>
        <w:t>- Stranke uvek mogu da se pomire i da spor reše i izvan suda. Međutim, imajući u vidu kolika sredstva UN ulažu za pripremu logistike, ukoliko bi se ovaj predmet u poslednjem momentu skinuo sa liste, došlo bi do zastoja u radu suda, za koji bi bile odgovorne dve strane.</w:t>
      </w:r>
    </w:p>
    <w:p>
      <w:pPr>
        <w:pStyle w:val="style0"/>
        <w:rPr>
          <w:rFonts w:ascii="Calibri" w:cs="Calibri" w:hAnsi="Calibri"/>
        </w:rPr>
      </w:pPr>
      <w:r>
        <w:rPr>
          <w:rFonts w:ascii="Calibri" w:cs="Calibri" w:hAnsi="Calibri"/>
        </w:rPr>
      </w:r>
    </w:p>
    <w:p>
      <w:pPr>
        <w:pStyle w:val="style0"/>
        <w:rPr>
          <w:rFonts w:ascii="Calibri" w:cs="Calibri" w:hAnsi="Calibri"/>
        </w:rPr>
      </w:pPr>
      <w:r>
        <w:rPr>
          <w:rFonts w:ascii="Calibri" w:cs="Calibri" w:hAnsi="Calibri"/>
        </w:rPr>
        <w:t>* Zagreb je ojačao svoj tim. Koliko ljudi je angažovano na našoj strani?</w:t>
      </w:r>
    </w:p>
    <w:p>
      <w:pPr>
        <w:pStyle w:val="style0"/>
        <w:rPr>
          <w:rFonts w:ascii="Calibri" w:cs="Calibri" w:hAnsi="Calibri"/>
        </w:rPr>
      </w:pPr>
      <w:r>
        <w:rPr>
          <w:rFonts w:ascii="Calibri" w:cs="Calibri" w:hAnsi="Calibri"/>
        </w:rPr>
      </w:r>
    </w:p>
    <w:p>
      <w:pPr>
        <w:pStyle w:val="style0"/>
        <w:rPr>
          <w:rFonts w:ascii="Calibri" w:cs="Calibri" w:hAnsi="Calibri"/>
        </w:rPr>
      </w:pPr>
      <w:r>
        <w:rPr>
          <w:rFonts w:ascii="Calibri" w:cs="Calibri" w:hAnsi="Calibri"/>
        </w:rPr>
        <w:t>- Imaćemo dvanaestak članova, koji će biti na usmenoj raspravi. Naša priprema za usmenu raspravu traje već godinama. Tu su profesor Vilijam Šabas, jedan od vodećih stručnjaka u pravnom tumačenju genocida, prof. Andreas Cimerman, koji je bio sa nama i u procesu sa BiH i oko Kosova, advokati Vejn Džordaš, savetnik za unakrsno ispitivanje svedoka, i Novak Lukić, koji je bio branilac Momčila Perišića i Veselina Šljivančanina.</w:t>
      </w:r>
    </w:p>
    <w:p>
      <w:pPr>
        <w:pStyle w:val="style0"/>
        <w:rPr>
          <w:rFonts w:ascii="Calibri" w:cs="Calibri" w:hAnsi="Calibri"/>
        </w:rPr>
      </w:pPr>
      <w:r>
        <w:rPr>
          <w:rFonts w:ascii="Calibri" w:cs="Calibri" w:hAnsi="Calibri"/>
        </w:rPr>
      </w:r>
    </w:p>
    <w:p>
      <w:pPr>
        <w:pStyle w:val="style0"/>
        <w:rPr>
          <w:rFonts w:ascii="Calibri" w:cs="Calibri" w:hAnsi="Calibri"/>
        </w:rPr>
      </w:pPr>
      <w:r>
        <w:rPr>
          <w:rFonts w:ascii="Calibri" w:cs="Calibri" w:hAnsi="Calibri"/>
        </w:rPr>
      </w:r>
    </w:p>
    <w:p>
      <w:pPr>
        <w:pStyle w:val="style0"/>
        <w:jc w:val="both"/>
        <w:rPr>
          <w:rFonts w:ascii="Calibri" w:cs="Calibri" w:hAnsi="Calibri"/>
          <w:lang w:val="en-US"/>
        </w:rPr>
      </w:pPr>
      <w:r>
        <w:rPr>
          <w:rFonts w:ascii="Calibri" w:cs="Calibri" w:hAnsi="Calibri"/>
          <w:lang w:val="en-US"/>
        </w:rPr>
      </w:r>
    </w:p>
    <w:p>
      <w:pPr>
        <w:pStyle w:val="style0"/>
        <w:rPr/>
      </w:pPr>
      <w:r>
        <w:rPr/>
      </w:r>
    </w:p>
    <w:p>
      <w:pPr>
        <w:pStyle w:val="style0"/>
        <w:rPr/>
      </w:pPr>
      <w:r>
        <w:rPr/>
      </w:r>
    </w:p>
    <w:sectPr>
      <w:headerReference r:id="rId19" w:type="default"/>
      <w:footerReference r:id="rId20" w:type="default"/>
      <w:type w:val="nextPage"/>
      <w:pgSz w:h="16838" w:w="11906"/>
      <w:pgMar w:bottom="1440" w:footer="720" w:gutter="0" w:header="1361" w:left="1797" w:right="1797" w:top="1440"/>
      <w:pgNumType w:fmt="decimal"/>
      <w:formProt w:val="false"/>
      <w:textDirection w:val="lrTb"/>
      <w:docGrid w:charSpace="0" w:linePitch="240" w:type="default"/>
    </w:sectPr>
  </w:body>
</w:document>
</file>

<file path=word/fontTable.xml><?xml version="1.0" encoding="utf-8"?>
<w:fonts xmlns:r="http://schemas.openxmlformats.org/officeDocument/2006/relationship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YU Times New Roman">
    <w:charset w:val="00"/>
    <w:family w:val="roman"/>
    <w:pitch w:val="variable"/>
  </w:font>
  <w:font w:name="Arial">
    <w:charset w:val="00"/>
    <w:family w:val="roman"/>
    <w:pitch w:val="variable"/>
  </w:font>
  <w:font w:name="Calibri">
    <w:charset w:val="00"/>
    <w:family w:val="roman"/>
    <w:pitch w:val="variable"/>
  </w:font>
  <w:font w:name="Bookman Old Style">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29"/>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29"/>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29"/>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0"/>
      <w:ind w:hanging="0" w:left="1077" w:right="0"/>
      <w:jc w:val="center"/>
      <w:rPr>
        <w:rFonts w:ascii="Times New Roman" w:hAnsi="Times New Roman"/>
        <w:b/>
        <w:bCs/>
        <w:spacing w:val="12"/>
        <w:sz w:val="26"/>
        <w:lang w:val="en-US"/>
      </w:rPr>
    </w:pPr>
    <w:r>
      <w:rPr>
        <w:rFonts w:ascii="Times New Roman" w:hAnsi="Times New Roman"/>
        <w:b/>
        <w:bCs/>
        <w:spacing w:val="12"/>
        <w:sz w:val="26"/>
        <w:lang w:val="en-US"/>
      </w:rPr>
      <w:t>HELSINŠKI ODBOR ZA LJUDSKA PRAVA U SRBIJI</w:t>
    </w:r>
  </w:p>
  <w:p>
    <w:pPr>
      <w:pStyle w:val="style1"/>
      <w:jc w:val="center"/>
      <w:rPr>
        <w:lang w:val="en-US"/>
      </w:rPr>
    </w:pPr>
    <w:r>
      <w:rPr>
        <w:lang w:val="en-US"/>
      </w:rPr>
      <w:t>HELSINKI COMMITTEE FOR HUMAN RIGHTS IN SERBIA</w:t>
    </w:r>
  </w:p>
  <w:p>
    <w:pPr>
      <w:pStyle w:val="style0"/>
      <w:ind w:hanging="0" w:left="1077" w:right="0"/>
      <w:jc w:val="center"/>
      <w:rPr>
        <w:rFonts w:ascii="Times New Roman" w:hAnsi="Times New Roman"/>
        <w:spacing w:val="18"/>
        <w:sz w:val="20"/>
        <w:lang w:val="en-US"/>
      </w:rPr>
    </w:pPr>
    <w:r>
      <w:rPr>
        <w:rFonts w:ascii="Times New Roman" w:hAnsi="Times New Roman"/>
        <w:spacing w:val="8"/>
        <w:sz w:val="20"/>
        <w:lang w:val="en-US"/>
      </w:rPr>
      <w:t>Srbija, 11000 Beograd, Kralja Milana 10, tel/fax: (+381 11) 268 82 89</w:t>
    </w:r>
    <w:r>
      <w:rPr>
        <w:rFonts w:ascii="Times New Roman" w:hAnsi="Times New Roman"/>
        <w:spacing w:val="18"/>
        <w:sz w:val="20"/>
        <w:lang w:val="en-US"/>
      </w:rPr>
      <w:t>, e-mail: biserkos</w:t>
    </w:r>
    <w:r>
      <w:rPr>
        <w:rFonts w:ascii="Times New Roman" w:hAnsi="Times New Roman"/>
        <w:b/>
        <w:bCs/>
        <w:spacing w:val="18"/>
        <w:sz w:val="20"/>
        <w:lang w:val="en-US"/>
      </w:rPr>
      <w:t>@</w:t>
    </w:r>
    <w:r>
      <w:rPr>
        <w:rFonts w:ascii="Times New Roman" w:hAnsi="Times New Roman"/>
        <w:spacing w:val="18"/>
        <w:sz w:val="20"/>
        <w:lang w:val="en-US"/>
      </w:rPr>
      <w:t>eunet.rs, http://www.helsinki.org.rs</w:t>
    </w:r>
  </w:p>
  <w:p>
    <w:pPr>
      <w:pStyle w:val="style28"/>
      <w:jc w:val="center"/>
      <w:rPr>
        <w:lang w:val="en-US"/>
      </w:rPr>
    </w:pPr>
    <w:r>
      <w:rPr>
        <w:lang w:val="en-US"/>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0"/>
      <w:rPr/>
    </w:pPr>
    <w:r>
      <w:rPr/>
      <w:fldChar w:fldCharType="begin"/>
    </w:r>
    <w:r>
      <w:instrText> PAGE </w:instrText>
    </w:r>
    <w:r>
      <w:fldChar w:fldCharType="separate"/>
    </w:r>
    <w:r>
      <w:t>6</w:t>
    </w:r>
    <w:r>
      <w:fldChar w:fldCharType="end"/>
    </w:r>
    <w:r>
      <w:pict>
        <v:rect fillcolor="#FFFFFF" strokecolor="#000000" strokeweight="0pt" style="position:absolute;width:12.05pt;height:13.8pt;margin-top:0.05pt;margin-left:403.6pt">
          <v:textbox inset="0pt,0pt,0pt,0pt">
            <w:txbxContent>
              <w:p>
                <w:pPr>
                  <w:pStyle w:val="style33"/>
                  <w:rPr/>
                </w:pPr>
                <w:r>
                  <w:rPr/>
                  <w:fldChar w:fldCharType="begin"/>
                </w:r>
                <w:r>
                  <w:instrText> PAGE </w:instrText>
                </w:r>
                <w:r>
                  <w:fldChar w:fldCharType="separate"/>
                </w:r>
                <w:r>
                  <w:t>14</w:t>
                </w:r>
                <w:r>
                  <w:fldChar w:fldCharType="end"/>
                </w:r>
              </w:p>
            </w:txbxContent>
          </v:textbox>
          <w10:wrap type="square"/>
        </v:rect>
      </w:pict>
    </w:r>
  </w:p>
  <w:p>
    <w:pPr>
      <w:pStyle w:val="style28"/>
      <w:ind w:hanging="0" w:left="0" w:right="360"/>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0"/>
      <w:rPr/>
    </w:pPr>
    <w:r>
      <w:rPr/>
      <w:fldChar w:fldCharType="begin"/>
    </w:r>
    <w:r>
      <w:instrText> PAGE </w:instrText>
    </w:r>
    <w:r>
      <w:fldChar w:fldCharType="separate"/>
    </w:r>
    <w:r>
      <w:t>6</w:t>
    </w:r>
    <w:r>
      <w:fldChar w:fldCharType="end"/>
    </w:r>
    <w:r>
      <w:pict>
        <v:rect fillcolor="#FFFFFF" strokecolor="#000000" strokeweight="0pt" style="position:absolute;width:12.05pt;height:13.8pt;margin-top:0.05pt;margin-left:403.6pt">
          <v:textbox inset="0pt,0pt,0pt,0pt">
            <w:txbxContent>
              <w:p>
                <w:pPr>
                  <w:pStyle w:val="style33"/>
                  <w:rPr/>
                </w:pPr>
                <w:r>
                  <w:rPr/>
                  <w:fldChar w:fldCharType="begin"/>
                </w:r>
                <w:r>
                  <w:instrText> PAGE </w:instrText>
                </w:r>
                <w:r>
                  <w:fldChar w:fldCharType="separate"/>
                </w:r>
                <w:r>
                  <w:t>14</w:t>
                </w:r>
                <w:r>
                  <w:fldChar w:fldCharType="end"/>
                </w:r>
              </w:p>
            </w:txbxContent>
          </v:textbox>
          <w10:wrap type="square"/>
        </v:rect>
      </w:pict>
    </w:r>
  </w:p>
  <w:p>
    <w:pPr>
      <w:pStyle w:val="style28"/>
      <w:ind w:hanging="0" w:left="0" w:right="360"/>
      <w:rPr/>
    </w:pPr>
    <w:r>
      <w:rPr/>
    </w:r>
  </w:p>
</w:hdr>
</file>

<file path=word/numbering.xml><?xml version="1.0" encoding="utf-8"?>
<w:numbering xmlns:o="urn:schemas-microsoft-com:office:office" xmlns:r="http://schemas.openxmlformats.org/officeDocument/2006/relationships" xmlns:v="urn:schemas-microsoft-com:vml" xmlns:w="http://schemas.openxmlformats.org/wordprocessingml/2006/main">
  <w:abstractNum w:abstractNumId="1">
    <w:lvl w:ilvl="0">
      <w:start w:val="1"/>
      <w:numFmt w:val="decimal"/>
      <w:lvlText w:val="%1."/>
      <w:lvlJc w:val="left"/>
      <w:pPr>
        <w:ind w:hanging="360" w:left="720"/>
      </w:pPr>
    </w:lvl>
    <w:lvl w:ilvl="1">
      <w:start w:val="1"/>
      <w:numFmt w:val="lowerLetter"/>
      <w:lvlText w:val="%2."/>
      <w:lvlJc w:val="left"/>
      <w:pPr>
        <w:ind w:hanging="360" w:left="1440"/>
      </w:pPr>
    </w:lvl>
    <w:lvl w:ilvl="2">
      <w:start w:val="1"/>
      <w:numFmt w:val="lowerRoman"/>
      <w:lvlText w:val="%3."/>
      <w:lvlJc w:val="right"/>
      <w:pPr>
        <w:ind w:hanging="180" w:left="2160"/>
      </w:pPr>
    </w:lvl>
    <w:lvl w:ilvl="3">
      <w:start w:val="1"/>
      <w:numFmt w:val="decimal"/>
      <w:lvlText w:val="%4."/>
      <w:lvlJc w:val="left"/>
      <w:pPr>
        <w:ind w:hanging="360" w:left="2880"/>
      </w:pPr>
    </w:lvl>
    <w:lvl w:ilvl="4">
      <w:start w:val="1"/>
      <w:numFmt w:val="lowerLetter"/>
      <w:lvlText w:val="%5."/>
      <w:lvlJc w:val="left"/>
      <w:pPr>
        <w:ind w:hanging="360" w:left="3600"/>
      </w:pPr>
    </w:lvl>
    <w:lvl w:ilvl="5">
      <w:start w:val="1"/>
      <w:numFmt w:val="lowerRoman"/>
      <w:lvlText w:val="%6."/>
      <w:lvlJc w:val="right"/>
      <w:pPr>
        <w:ind w:hanging="180" w:left="4320"/>
      </w:pPr>
    </w:lvl>
    <w:lvl w:ilvl="6">
      <w:start w:val="1"/>
      <w:numFmt w:val="decimal"/>
      <w:lvlText w:val="%7."/>
      <w:lvlJc w:val="left"/>
      <w:pPr>
        <w:ind w:hanging="360" w:left="5040"/>
      </w:pPr>
    </w:lvl>
    <w:lvl w:ilvl="7">
      <w:start w:val="1"/>
      <w:numFmt w:val="lowerLetter"/>
      <w:lvlText w:val="%8."/>
      <w:lvlJc w:val="left"/>
      <w:pPr>
        <w:ind w:hanging="360" w:left="5760"/>
      </w:pPr>
    </w:lvl>
    <w:lvl w:ilvl="8">
      <w:start w:val="1"/>
      <w:numFmt w:val="lowerRoman"/>
      <w:lvlText w:val="%9."/>
      <w:lvlJc w:val="right"/>
      <w:pPr>
        <w:ind w:hanging="180" w:left="6480"/>
      </w:pPr>
    </w:lvl>
  </w:abstractNum>
  <w:abstractNum w:abstractNumId="2">
    <w:lvl w:ilvl="0">
      <w:start w:val="1"/>
      <w:numFmt w:val="none"/>
      <w:suff w:val="nothing"/>
      <w:lvlText w:val=""/>
      <w:lvlJc w:val="left"/>
      <w:pPr>
        <w:tabs>
          <w:tab w:pos="432" w:val="num"/>
        </w:tabs>
        <w:ind w:hanging="432" w:left="432"/>
      </w:pPr>
    </w:lvl>
    <w:lvl w:ilvl="1">
      <w:start w:val="1"/>
      <w:numFmt w:val="none"/>
      <w:suff w:val="nothing"/>
      <w:lvlText w:val=""/>
      <w:lvlJc w:val="left"/>
      <w:pPr>
        <w:tabs>
          <w:tab w:pos="576" w:val="num"/>
        </w:tabs>
        <w:ind w:hanging="576" w:left="576"/>
      </w:pPr>
    </w:lvl>
    <w:lvl w:ilvl="2">
      <w:start w:val="1"/>
      <w:numFmt w:val="none"/>
      <w:suff w:val="nothing"/>
      <w:lvlText w:val=""/>
      <w:lvlJc w:val="left"/>
      <w:pPr>
        <w:tabs>
          <w:tab w:pos="720" w:val="num"/>
        </w:tabs>
        <w:ind w:hanging="720" w:left="720"/>
      </w:pPr>
    </w:lvl>
    <w:lvl w:ilvl="3">
      <w:start w:val="1"/>
      <w:numFmt w:val="none"/>
      <w:suff w:val="nothing"/>
      <w:lvlText w:val=""/>
      <w:lvlJc w:val="left"/>
      <w:pPr>
        <w:tabs>
          <w:tab w:pos="864" w:val="num"/>
        </w:tabs>
        <w:ind w:hanging="864" w:left="864"/>
      </w:pPr>
    </w:lvl>
    <w:lvl w:ilvl="4">
      <w:start w:val="1"/>
      <w:numFmt w:val="none"/>
      <w:suff w:val="nothing"/>
      <w:lvlText w:val=""/>
      <w:lvlJc w:val="left"/>
      <w:pPr>
        <w:tabs>
          <w:tab w:pos="1008" w:val="num"/>
        </w:tabs>
        <w:ind w:hanging="1008" w:left="1008"/>
      </w:pPr>
    </w:lvl>
    <w:lvl w:ilvl="5">
      <w:start w:val="1"/>
      <w:numFmt w:val="none"/>
      <w:suff w:val="nothing"/>
      <w:lvlText w:val=""/>
      <w:lvlJc w:val="left"/>
      <w:pPr>
        <w:tabs>
          <w:tab w:pos="1152" w:val="num"/>
        </w:tabs>
        <w:ind w:hanging="1152" w:left="1152"/>
      </w:pPr>
    </w:lvl>
    <w:lvl w:ilvl="6">
      <w:start w:val="1"/>
      <w:numFmt w:val="none"/>
      <w:suff w:val="nothing"/>
      <w:lvlText w:val=""/>
      <w:lvlJc w:val="left"/>
      <w:pPr>
        <w:tabs>
          <w:tab w:pos="1296" w:val="num"/>
        </w:tabs>
        <w:ind w:hanging="1296" w:left="1296"/>
      </w:pPr>
    </w:lvl>
    <w:lvl w:ilvl="7">
      <w:start w:val="1"/>
      <w:numFmt w:val="none"/>
      <w:suff w:val="nothing"/>
      <w:lvlText w:val=""/>
      <w:lvlJc w:val="left"/>
      <w:pPr>
        <w:tabs>
          <w:tab w:pos="1440" w:val="num"/>
        </w:tabs>
        <w:ind w:hanging="1440" w:left="1440"/>
      </w:pPr>
    </w:lvl>
    <w:lvl w:ilvl="8">
      <w:start w:val="1"/>
      <w:numFmt w:val="none"/>
      <w:suff w:val="nothing"/>
      <w:lvlText w:val=""/>
      <w:lvlJc w:val="left"/>
      <w:pPr>
        <w:tabs>
          <w:tab w:pos="1584" w:val="num"/>
        </w:tabs>
        <w:ind w:hanging="1584" w:left="1584"/>
      </w:pPr>
    </w:lvl>
  </w:abstractNum>
  <w:num w:numId="1">
    <w:abstractNumId w:val="1"/>
  </w:num>
  <w:num w:numId="2">
    <w:abstractNumId w:val="2"/>
  </w:num>
</w:numbering>
</file>

<file path=word/settings.xml><?xml version="1.0" encoding="utf-8"?>
<w:settings xmlns:w="http://schemas.openxmlformats.org/wordprocessingml/2006/main">
  <w:zoom w:percent="100"/>
  <w:defaultTabStop w:val="720"/>
</w:settings>
</file>

<file path=word/styles.xml><?xml version="1.0" encoding="utf-8"?>
<w:styles xmlns:w="http://schemas.openxmlformats.org/wordprocessingml/2006/main">
  <w:style w:styleId="style0" w:type="paragraph">
    <w:name w:val="Normal"/>
    <w:next w:val="style0"/>
    <w:pPr>
      <w:widowControl/>
      <w:suppressAutoHyphens w:val="true"/>
    </w:pPr>
    <w:rPr>
      <w:rFonts w:ascii="YU Times New Roman" w:cs="Times New Roman" w:eastAsia="Times New Roman" w:hAnsi="YU Times New Roman"/>
      <w:color w:val="00000A"/>
      <w:sz w:val="24"/>
      <w:szCs w:val="20"/>
      <w:lang w:bidi="ar-SA" w:eastAsia="hr-HR" w:val="en-GB"/>
    </w:rPr>
  </w:style>
  <w:style w:styleId="style1" w:type="paragraph">
    <w:name w:val="Heading 1"/>
    <w:basedOn w:val="style0"/>
    <w:next w:val="style1"/>
    <w:pPr>
      <w:keepNext/>
      <w:ind w:hanging="0" w:left="1077" w:right="0"/>
      <w:jc w:val="both"/>
    </w:pPr>
    <w:rPr>
      <w:rFonts w:ascii="Times New Roman" w:hAnsi="Times New Roman"/>
      <w:b/>
      <w:bCs/>
      <w:spacing w:val="8"/>
    </w:rPr>
  </w:style>
  <w:style w:styleId="style2" w:type="paragraph">
    <w:name w:val="Heading 2"/>
    <w:basedOn w:val="style0"/>
    <w:next w:val="style2"/>
    <w:pPr>
      <w:keepNext/>
      <w:spacing w:after="60" w:before="240"/>
      <w:contextualSpacing w:val="false"/>
    </w:pPr>
    <w:rPr>
      <w:rFonts w:ascii="Arial" w:cs="Arial" w:hAnsi="Arial"/>
      <w:b/>
      <w:bCs/>
      <w:i/>
      <w:iCs/>
      <w:sz w:val="28"/>
      <w:szCs w:val="28"/>
    </w:rPr>
  </w:style>
  <w:style w:styleId="style15" w:type="character">
    <w:name w:val="Default Paragraph Font"/>
    <w:next w:val="style15"/>
    <w:rPr/>
  </w:style>
  <w:style w:styleId="style16" w:type="character">
    <w:name w:val="page number"/>
    <w:basedOn w:val="style15"/>
    <w:next w:val="style16"/>
    <w:rPr/>
  </w:style>
  <w:style w:styleId="style17" w:type="character">
    <w:name w:val="Internet Link"/>
    <w:next w:val="style17"/>
    <w:rPr>
      <w:rFonts w:cs="Times New Roman"/>
      <w:color w:val="0000FF"/>
      <w:u w:val="single"/>
      <w:lang w:bidi="zxx-" w:eastAsia="zxx-" w:val="zxx-"/>
    </w:rPr>
  </w:style>
  <w:style w:styleId="style18" w:type="character">
    <w:name w:val="ListLabel 1"/>
    <w:next w:val="style18"/>
    <w:rPr>
      <w:rFonts w:cs="Tahoma" w:eastAsia="Times New Roman"/>
    </w:rPr>
  </w:style>
  <w:style w:styleId="style19" w:type="character">
    <w:name w:val="ListLabel 2"/>
    <w:next w:val="style19"/>
    <w:rPr>
      <w:rFonts w:cs="Courier New"/>
    </w:rPr>
  </w:style>
  <w:style w:styleId="style20" w:type="character">
    <w:name w:val="ListLabel 3"/>
    <w:next w:val="style20"/>
    <w:rPr>
      <w:rFonts w:cs="Times New Roman"/>
    </w:rPr>
  </w:style>
  <w:style w:styleId="style21" w:type="paragraph">
    <w:name w:val="Heading"/>
    <w:basedOn w:val="style0"/>
    <w:next w:val="style22"/>
    <w:pPr>
      <w:keepNext/>
      <w:spacing w:after="120" w:before="240"/>
      <w:contextualSpacing w:val="false"/>
    </w:pPr>
    <w:rPr>
      <w:rFonts w:ascii="Arial" w:cs="Mangal" w:eastAsia="Microsoft YaHei" w:hAnsi="Arial"/>
      <w:sz w:val="28"/>
      <w:szCs w:val="28"/>
    </w:rPr>
  </w:style>
  <w:style w:styleId="style22" w:type="paragraph">
    <w:name w:val="Text Body"/>
    <w:basedOn w:val="style0"/>
    <w:next w:val="style22"/>
    <w:pPr>
      <w:spacing w:after="120" w:before="0"/>
      <w:contextualSpacing w:val="false"/>
    </w:pPr>
    <w:rPr/>
  </w:style>
  <w:style w:styleId="style23" w:type="paragraph">
    <w:name w:val="List"/>
    <w:basedOn w:val="style0"/>
    <w:next w:val="style23"/>
    <w:pPr>
      <w:ind w:hanging="360" w:left="360" w:right="0"/>
    </w:pPr>
    <w:rPr>
      <w:rFonts w:cs="Mangal"/>
    </w:rPr>
  </w:style>
  <w:style w:styleId="style24" w:type="paragraph">
    <w:name w:val="Caption"/>
    <w:basedOn w:val="style0"/>
    <w:next w:val="style24"/>
    <w:pPr>
      <w:suppressLineNumbers/>
      <w:spacing w:after="120" w:before="120"/>
      <w:contextualSpacing w:val="false"/>
    </w:pPr>
    <w:rPr>
      <w:rFonts w:cs="Mangal"/>
      <w:i/>
      <w:iCs/>
      <w:sz w:val="24"/>
      <w:szCs w:val="24"/>
    </w:rPr>
  </w:style>
  <w:style w:styleId="style25" w:type="paragraph">
    <w:name w:val="Index"/>
    <w:basedOn w:val="style0"/>
    <w:next w:val="style25"/>
    <w:pPr>
      <w:suppressLineNumbers/>
    </w:pPr>
    <w:rPr>
      <w:rFonts w:cs="Mangal"/>
    </w:rPr>
  </w:style>
  <w:style w:styleId="style26" w:type="paragraph">
    <w:name w:val="envelope address"/>
    <w:basedOn w:val="style0"/>
    <w:next w:val="style26"/>
    <w:pPr>
      <w:ind w:hanging="0" w:left="2880" w:right="0"/>
    </w:pPr>
    <w:rPr/>
  </w:style>
  <w:style w:styleId="style27" w:type="paragraph">
    <w:name w:val="envelope return"/>
    <w:basedOn w:val="style0"/>
    <w:next w:val="style27"/>
    <w:pPr/>
    <w:rPr>
      <w:sz w:val="20"/>
    </w:rPr>
  </w:style>
  <w:style w:styleId="style28" w:type="paragraph">
    <w:name w:val="Header"/>
    <w:basedOn w:val="style0"/>
    <w:next w:val="style28"/>
    <w:pPr>
      <w:tabs>
        <w:tab w:leader="none" w:pos="4320" w:val="center"/>
        <w:tab w:leader="none" w:pos="8640" w:val="right"/>
      </w:tabs>
    </w:pPr>
    <w:rPr/>
  </w:style>
  <w:style w:styleId="style29" w:type="paragraph">
    <w:name w:val="Footer"/>
    <w:basedOn w:val="style0"/>
    <w:next w:val="style29"/>
    <w:pPr>
      <w:tabs>
        <w:tab w:leader="none" w:pos="4320" w:val="center"/>
        <w:tab w:leader="none" w:pos="8640" w:val="right"/>
      </w:tabs>
    </w:pPr>
    <w:rPr/>
  </w:style>
  <w:style w:styleId="style30" w:type="paragraph">
    <w:name w:val="List Continue"/>
    <w:basedOn w:val="style0"/>
    <w:next w:val="style30"/>
    <w:pPr>
      <w:spacing w:after="120" w:before="0"/>
      <w:ind w:hanging="0" w:left="360" w:right="0"/>
      <w:contextualSpacing w:val="false"/>
    </w:pPr>
    <w:rPr/>
  </w:style>
  <w:style w:styleId="style31" w:type="paragraph">
    <w:name w:val="Subtitle"/>
    <w:basedOn w:val="style0"/>
    <w:next w:val="style31"/>
    <w:pPr>
      <w:spacing w:after="60" w:before="0"/>
      <w:contextualSpacing w:val="false"/>
      <w:jc w:val="center"/>
    </w:pPr>
    <w:rPr>
      <w:rFonts w:ascii="Arial" w:cs="Arial" w:hAnsi="Arial"/>
      <w:szCs w:val="24"/>
    </w:rPr>
  </w:style>
  <w:style w:styleId="style32" w:type="paragraph">
    <w:name w:val="List Paragraph"/>
    <w:basedOn w:val="style0"/>
    <w:next w:val="style32"/>
    <w:pPr>
      <w:spacing w:after="200" w:before="0" w:line="276" w:lineRule="auto"/>
      <w:ind w:hanging="0" w:left="720" w:right="0"/>
      <w:contextualSpacing w:val="false"/>
    </w:pPr>
    <w:rPr>
      <w:rFonts w:ascii="Calibri" w:cs="Calibri" w:hAnsi="Calibri"/>
      <w:sz w:val="22"/>
      <w:szCs w:val="22"/>
      <w:lang w:eastAsia="en-US" w:val="en-US"/>
    </w:rPr>
  </w:style>
  <w:style w:styleId="style33" w:type="paragraph">
    <w:name w:val="Frame Contents"/>
    <w:basedOn w:val="style0"/>
    <w:next w:val="style33"/>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footer" Target="footer1.xml"/><Relationship Id="rId4" Type="http://schemas.openxmlformats.org/officeDocument/2006/relationships/header" Target="header2.xml"/><Relationship Id="rId5" Type="http://schemas.openxmlformats.org/officeDocument/2006/relationships/footer" Target="footer2.xml"/><Relationship Id="rId6" Type="http://schemas.openxmlformats.org/officeDocument/2006/relationships/hyperlink" Target="http://www.novosti.rs/vesti/naslovna/politika/aktuelno.289.html:465057-Sonja-Biserko-svedoci-protiv-sopstvene-zemlje" TargetMode="External"/><Relationship Id="rId7" Type="http://schemas.openxmlformats.org/officeDocument/2006/relationships/image" Target="media/image1.wmf"/><Relationship Id="rId8" Type="http://schemas.openxmlformats.org/officeDocument/2006/relationships/image" Target="media/image2.wmf"/><Relationship Id="rId9" Type="http://schemas.openxmlformats.org/officeDocument/2006/relationships/image" Target="media/image3.wmf"/><Relationship Id="rId10" Type="http://schemas.openxmlformats.org/officeDocument/2006/relationships/image" Target="media/image4.wmf"/><Relationship Id="rId11" Type="http://schemas.openxmlformats.org/officeDocument/2006/relationships/image" Target="media/image5.wmf"/><Relationship Id="rId12" Type="http://schemas.openxmlformats.org/officeDocument/2006/relationships/image" Target="media/image6.wmf"/><Relationship Id="rId13" Type="http://schemas.openxmlformats.org/officeDocument/2006/relationships/image" Target="media/image7.wmf"/><Relationship Id="rId14" Type="http://schemas.openxmlformats.org/officeDocument/2006/relationships/image" Target="media/image8.wmf"/><Relationship Id="rId15" Type="http://schemas.openxmlformats.org/officeDocument/2006/relationships/image" Target="media/image9.wmf"/><Relationship Id="rId16" Type="http://schemas.openxmlformats.org/officeDocument/2006/relationships/image" Target="media/image10.wmf"/><Relationship Id="rId17" Type="http://schemas.openxmlformats.org/officeDocument/2006/relationships/hyperlink" Target="http://www.novosti.rs/vesti/naslovna/politika/aktuelno.289.html:463952-Sasa-Obradovic-Imamo-jake-dokaze-protiv-Hrvatske" TargetMode="External"/><Relationship Id="rId18" Type="http://schemas.openxmlformats.org/officeDocument/2006/relationships/hyperlink" Target="http://www.novosti.rs/vesti/naslovna/politika/aktuelno.289.html:463952-Sasa-Obradovic-Imamo-jake-dokaze-protiv-Hrvatske" TargetMode="External"/><Relationship Id="rId19" Type="http://schemas.openxmlformats.org/officeDocument/2006/relationships/header" Target="header3.xml"/><Relationship Id="rId20" Type="http://schemas.openxmlformats.org/officeDocument/2006/relationships/footer" Target="footer3.xml"/><Relationship Id="rId21" Type="http://schemas.openxmlformats.org/officeDocument/2006/relationships/numbering" Target="numbering.xml"/><Relationship Id="rId22" Type="http://schemas.openxmlformats.org/officeDocument/2006/relationships/fontTable" Target="fontTable.xml"/><Relationship Id="rId23"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MemoHO2007</Template>
  <TotalTime>2</TotalTime>
  <Application>Microsoft Office Word</Application>
</Properties>
</file>

<file path=docProps/core.xml><?xml version="1.0" encoding="utf-8"?>
<cp:coreProperties xmlns:cp="http://schemas.openxmlformats.org/package/2006/metadata/core-properties" xmlns:dc="http://purl.org/dc/elements/1.1/" xmlns:dcmitype="http://purl.org/dc/dcmitype/" xmlns:dcterms="http://purl.org/dc/terms/" xmlns:xsi="http://www.w3.org/2001/XMLSchema-instance">
  <dcterms:created xsi:type="dcterms:W3CDTF">2013-11-30T19:22:00Z</dcterms:created>
  <dc:creator>Azulaj Klara</dc:creator>
  <cp:lastModifiedBy>Jovana</cp:lastModifiedBy>
  <cp:lastPrinted>2012-05-28T10:39:00Z</cp:lastPrinted>
  <dcterms:modified xsi:type="dcterms:W3CDTF">2013-11-30T19:22:00Z</dcterms:modified>
  <cp:revision>2</cp:revision>
  <dc:title>U SARADNJI SA NORVEŠKIM HELSINŠKIM KOMITETOM</dc:title>
</cp:coreProperties>
</file>